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25A904A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C40D4A">
        <w:rPr>
          <w:rFonts w:ascii="Times New Roman" w:hAnsi="Times New Roman" w:cs="Times New Roman"/>
          <w:sz w:val="24"/>
          <w:szCs w:val="24"/>
        </w:rPr>
        <w:t>16 lutego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AED7A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A6978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A2934D7" w14:textId="3D8944B0" w:rsidR="00C40D4A" w:rsidRPr="00C40D4A" w:rsidRDefault="00C40D4A" w:rsidP="00C40D4A">
      <w:pPr>
        <w:pStyle w:val="Nagwek3"/>
        <w:ind w:firstLine="708"/>
        <w:jc w:val="both"/>
        <w:rPr>
          <w:rFonts w:ascii="Times New Roman" w:hAnsi="Times New Roman"/>
          <w:b w:val="0"/>
          <w:bCs/>
          <w:szCs w:val="20"/>
        </w:rPr>
      </w:pPr>
      <w:r w:rsidRPr="00C40D4A">
        <w:rPr>
          <w:rFonts w:ascii="Times New Roman" w:hAnsi="Times New Roman"/>
          <w:b w:val="0"/>
          <w:bCs/>
          <w:szCs w:val="20"/>
        </w:rPr>
        <w:t xml:space="preserve">Na podstawie art. 49a ustawy z dnia 14 czerwca 1960 r. – Kodeks postępowania administracyjnego (tj. Dz. U. z 2023r., poz. 775 ze zm.) oraz art. 53 ust. 1c ustawy z dnia 27 marca 2023r. o planowaniu i zagospodarowaniu przestrzennym (tj. Dz.U. z 2023r., poz. 977 ze zm.), zawiadamiam osoby, którym przysługuje prawo rzeczowe do nieruchomości o nieuregulowanym lub nieujawnionym stanie prawnym, </w:t>
      </w:r>
      <w:r w:rsidR="007610E7" w:rsidRPr="00C40D4A">
        <w:rPr>
          <w:rFonts w:ascii="Times New Roman" w:hAnsi="Times New Roman"/>
          <w:b w:val="0"/>
          <w:bCs/>
          <w:szCs w:val="20"/>
        </w:rPr>
        <w:t xml:space="preserve">tj. </w:t>
      </w:r>
      <w:r w:rsidR="007610E7" w:rsidRPr="00C40D4A">
        <w:rPr>
          <w:rStyle w:val="Pogrubienie"/>
          <w:rFonts w:ascii="Times New Roman" w:hAnsi="Times New Roman"/>
          <w:bCs w:val="0"/>
          <w:szCs w:val="20"/>
        </w:rPr>
        <w:t xml:space="preserve">działki o nr </w:t>
      </w:r>
      <w:r w:rsidR="007A6978" w:rsidRPr="00C40D4A">
        <w:rPr>
          <w:rStyle w:val="Pogrubienie"/>
          <w:rFonts w:ascii="Times New Roman" w:hAnsi="Times New Roman"/>
          <w:bCs w:val="0"/>
          <w:szCs w:val="20"/>
        </w:rPr>
        <w:t>137/2</w:t>
      </w:r>
      <w:r w:rsidR="0006490D" w:rsidRPr="00C40D4A">
        <w:rPr>
          <w:rStyle w:val="Pogrubienie"/>
          <w:rFonts w:ascii="Times New Roman" w:hAnsi="Times New Roman"/>
          <w:bCs w:val="0"/>
          <w:szCs w:val="20"/>
        </w:rPr>
        <w:t xml:space="preserve"> </w:t>
      </w:r>
      <w:r w:rsidR="007610E7" w:rsidRPr="00C40D4A">
        <w:rPr>
          <w:rStyle w:val="Pogrubienie"/>
          <w:rFonts w:ascii="Times New Roman" w:hAnsi="Times New Roman"/>
          <w:bCs w:val="0"/>
          <w:szCs w:val="20"/>
        </w:rPr>
        <w:t xml:space="preserve">obręb </w:t>
      </w:r>
      <w:r w:rsidR="007A6978" w:rsidRPr="00C40D4A">
        <w:rPr>
          <w:rStyle w:val="Pogrubienie"/>
          <w:rFonts w:ascii="Times New Roman" w:hAnsi="Times New Roman"/>
          <w:bCs w:val="0"/>
          <w:szCs w:val="20"/>
        </w:rPr>
        <w:t>Kamionka</w:t>
      </w:r>
      <w:r w:rsidR="0006490D" w:rsidRPr="00C40D4A">
        <w:rPr>
          <w:rStyle w:val="Pogrubienie"/>
          <w:rFonts w:ascii="Times New Roman" w:hAnsi="Times New Roman"/>
          <w:bCs w:val="0"/>
          <w:szCs w:val="20"/>
        </w:rPr>
        <w:t xml:space="preserve"> </w:t>
      </w:r>
      <w:r w:rsidR="007610E7" w:rsidRPr="00C40D4A">
        <w:rPr>
          <w:rStyle w:val="Pogrubienie"/>
          <w:rFonts w:ascii="Times New Roman" w:hAnsi="Times New Roman"/>
          <w:bCs w:val="0"/>
          <w:szCs w:val="20"/>
        </w:rPr>
        <w:t>gmina Nowogród Bobrzański</w:t>
      </w:r>
      <w:r w:rsidRPr="00C40D4A">
        <w:rPr>
          <w:rStyle w:val="Pogrubienie"/>
          <w:rFonts w:ascii="Times New Roman" w:hAnsi="Times New Roman"/>
          <w:bCs w:val="0"/>
          <w:szCs w:val="20"/>
        </w:rPr>
        <w:t xml:space="preserve"> oraz pozostałe strony post</w:t>
      </w:r>
      <w:r>
        <w:rPr>
          <w:rStyle w:val="Pogrubienie"/>
          <w:rFonts w:ascii="Times New Roman" w:hAnsi="Times New Roman"/>
          <w:bCs w:val="0"/>
          <w:szCs w:val="20"/>
          <w:lang w:val="pl-PL"/>
        </w:rPr>
        <w:t>ę</w:t>
      </w:r>
      <w:r w:rsidRPr="00C40D4A">
        <w:rPr>
          <w:rStyle w:val="Pogrubienie"/>
          <w:rFonts w:ascii="Times New Roman" w:hAnsi="Times New Roman"/>
          <w:bCs w:val="0"/>
          <w:szCs w:val="20"/>
        </w:rPr>
        <w:t>powania</w:t>
      </w:r>
      <w:r w:rsidR="007610E7" w:rsidRPr="00C40D4A">
        <w:rPr>
          <w:rStyle w:val="Pogrubienie"/>
          <w:rFonts w:ascii="Times New Roman" w:hAnsi="Times New Roman"/>
          <w:bCs w:val="0"/>
          <w:szCs w:val="20"/>
        </w:rPr>
        <w:t xml:space="preserve">, </w:t>
      </w:r>
      <w:r w:rsidRPr="00C40D4A">
        <w:rPr>
          <w:rFonts w:ascii="Times New Roman" w:hAnsi="Times New Roman"/>
          <w:b w:val="0"/>
          <w:bCs/>
          <w:szCs w:val="20"/>
        </w:rPr>
        <w:t>o wydaniu w dn. 16 lutego 2024r. decyzji nr 10/WZ/2024 w sprawie  warunków zabudowy pn. budow</w:t>
      </w:r>
      <w:r w:rsidRPr="00C40D4A">
        <w:rPr>
          <w:rFonts w:ascii="Times New Roman" w:hAnsi="Times New Roman"/>
          <w:b w:val="0"/>
          <w:bCs/>
          <w:szCs w:val="20"/>
          <w:lang w:val="pl-PL"/>
        </w:rPr>
        <w:t>a</w:t>
      </w:r>
      <w:r w:rsidRPr="00C40D4A">
        <w:rPr>
          <w:rFonts w:ascii="Times New Roman" w:hAnsi="Times New Roman"/>
          <w:b w:val="0"/>
          <w:bCs/>
          <w:szCs w:val="20"/>
        </w:rPr>
        <w:t xml:space="preserve"> instalacji gazowej z posadowieniem zbiornika podziemnego na gaz płynny oraz budow</w:t>
      </w:r>
      <w:r w:rsidRPr="00C40D4A">
        <w:rPr>
          <w:rFonts w:ascii="Times New Roman" w:hAnsi="Times New Roman"/>
          <w:b w:val="0"/>
          <w:bCs/>
          <w:szCs w:val="20"/>
          <w:lang w:val="pl-PL"/>
        </w:rPr>
        <w:t>a</w:t>
      </w:r>
      <w:r w:rsidRPr="00C40D4A">
        <w:rPr>
          <w:rFonts w:ascii="Times New Roman" w:hAnsi="Times New Roman"/>
          <w:b w:val="0"/>
          <w:bCs/>
          <w:szCs w:val="20"/>
        </w:rPr>
        <w:t xml:space="preserve"> komina i montaż </w:t>
      </w:r>
      <w:r w:rsidRPr="00C40D4A">
        <w:rPr>
          <w:rFonts w:ascii="Times New Roman" w:hAnsi="Times New Roman"/>
          <w:b w:val="0"/>
          <w:bCs/>
          <w:szCs w:val="20"/>
          <w:lang w:val="pl-PL"/>
        </w:rPr>
        <w:t>kotła</w:t>
      </w:r>
      <w:r w:rsidRPr="00C40D4A">
        <w:rPr>
          <w:rFonts w:ascii="Times New Roman" w:hAnsi="Times New Roman"/>
          <w:b w:val="0"/>
          <w:bCs/>
          <w:szCs w:val="20"/>
        </w:rPr>
        <w:t xml:space="preserve"> na dzia</w:t>
      </w:r>
      <w:r w:rsidRPr="00C40D4A">
        <w:rPr>
          <w:rFonts w:ascii="Times New Roman" w:hAnsi="Times New Roman"/>
          <w:b w:val="0"/>
          <w:bCs/>
          <w:szCs w:val="20"/>
          <w:lang w:val="pl-PL"/>
        </w:rPr>
        <w:t>łce</w:t>
      </w:r>
      <w:r w:rsidRPr="00C40D4A">
        <w:rPr>
          <w:rFonts w:ascii="Times New Roman" w:hAnsi="Times New Roman"/>
          <w:b w:val="0"/>
          <w:bCs/>
          <w:szCs w:val="20"/>
        </w:rPr>
        <w:t xml:space="preserve"> nr ewid. </w:t>
      </w:r>
      <w:r w:rsidRPr="00C40D4A">
        <w:rPr>
          <w:rFonts w:ascii="Times New Roman" w:hAnsi="Times New Roman"/>
          <w:b w:val="0"/>
          <w:bCs/>
          <w:szCs w:val="20"/>
          <w:lang w:val="pl-PL"/>
        </w:rPr>
        <w:t>137/2</w:t>
      </w:r>
      <w:r w:rsidRPr="00C40D4A">
        <w:rPr>
          <w:rFonts w:ascii="Times New Roman" w:hAnsi="Times New Roman"/>
          <w:b w:val="0"/>
          <w:bCs/>
          <w:szCs w:val="20"/>
        </w:rPr>
        <w:t xml:space="preserve"> położon</w:t>
      </w:r>
      <w:r w:rsidRPr="00C40D4A">
        <w:rPr>
          <w:rFonts w:ascii="Times New Roman" w:hAnsi="Times New Roman"/>
          <w:b w:val="0"/>
          <w:bCs/>
          <w:szCs w:val="20"/>
          <w:lang w:val="pl-PL"/>
        </w:rPr>
        <w:t>ej w obrębie Kamionka w gminie</w:t>
      </w:r>
      <w:r w:rsidRPr="00C40D4A">
        <w:rPr>
          <w:rFonts w:ascii="Times New Roman" w:hAnsi="Times New Roman"/>
          <w:b w:val="0"/>
          <w:bCs/>
          <w:szCs w:val="20"/>
        </w:rPr>
        <w:t xml:space="preserve"> Nowogród Bobrzański </w:t>
      </w:r>
    </w:p>
    <w:p w14:paraId="39F1DFE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  <w:r w:rsidRPr="00C40D4A">
        <w:rPr>
          <w:rFonts w:ascii="Times New Roman" w:hAnsi="Times New Roman" w:cs="Times New Roman"/>
          <w:bCs/>
          <w:snapToGrid w:val="0"/>
          <w:sz w:val="20"/>
          <w:szCs w:val="20"/>
        </w:rPr>
        <w:t>Niniejsza decyzja o warunkach zabudowy nie rodzi praw do terenu oraz nie narusza prawa własności i uprawnień osób trzecich (art.63 ust.2 ustawy o planowaniu i zagospodarowaniu przestrzennym).</w:t>
      </w:r>
    </w:p>
    <w:p w14:paraId="0F278DB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Od niniejszej decyzji służy stronom odwołanie do Samorządowego Kolegium Odwoławczego w Zielonej Górze wniesione za pośrednictwem Burmistrza Nowogrodu Bobrzańskiego w terminie 14 dni od dnia doręczenia decyzji.</w:t>
      </w:r>
    </w:p>
    <w:p w14:paraId="7B74756D" w14:textId="3C45A7B5" w:rsidR="00C40D4A" w:rsidRP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 (art. 127a k.p.a.). Nie jest możliwe skuteczne cofnięcie oświadczenia o zrzeczeniu się prawa do wniesienia odwołania.</w:t>
      </w:r>
    </w:p>
    <w:p w14:paraId="3DC9CF88" w14:textId="77777777" w:rsidR="00C40D4A" w:rsidRPr="00C40D4A" w:rsidRDefault="00C40D4A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 xml:space="preserve">Jeżeli niniejsza decyzja została wydana z naruszeniem przepisów postępowania, </w:t>
      </w:r>
      <w:r w:rsidRPr="00C40D4A">
        <w:rPr>
          <w:rFonts w:ascii="Times New Roman" w:hAnsi="Times New Roman" w:cs="Times New Roman"/>
          <w:bCs/>
          <w:sz w:val="20"/>
          <w:szCs w:val="20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sprawy(art. 136 § 2 i 3 k.p.a.)</w:t>
      </w:r>
    </w:p>
    <w:p w14:paraId="022B74D8" w14:textId="77777777" w:rsidR="00C40D4A" w:rsidRDefault="00C40D4A" w:rsidP="00C4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0D4A">
        <w:rPr>
          <w:rFonts w:ascii="Times New Roman" w:hAnsi="Times New Roman" w:cs="Times New Roman"/>
          <w:bCs/>
          <w:sz w:val="20"/>
          <w:szCs w:val="20"/>
        </w:rPr>
        <w:t>W związku z art. 64  ust.1 pkt1) zgodnie z art. 51 ust. 2e. ustawy z dnia 27 marca 2003r. o planowaniu i zagospodarowaniu przestrzennym (t.j. Dz. U. z 2023r., poz. 977 ze zm.) wnioskodawcy przysługuje prawo do wniesienia żądania wymierzenia kary pieniężnej o której mowa w art. 2 ww. ustawy za moim pośrednictwem do Wojewody Lubuskiego w przypadku w przypadku niewydania przez właściwy organ decyzji o warunkach zabudowy w terminie 90 dni od dnia złożenia wniosku o wydanie takiej decyzji. Zgodnie z art. 51 ust. 2c. do terminu, o którym mowa w ust. 2, nie wlicza się terminów przewidzianych w przepisach prawa do dokonania określonych czynności, okresów zawieszenia postępowania oraz okresów opóźnień spowodowanych z winy strony albo z przyczyn niezależnych od organu.</w:t>
      </w:r>
    </w:p>
    <w:p w14:paraId="7EAB6BEE" w14:textId="77777777" w:rsidR="004954E1" w:rsidRPr="00C40D4A" w:rsidRDefault="004954E1" w:rsidP="00C40D4A">
      <w:pPr>
        <w:spacing w:after="0" w:line="240" w:lineRule="auto"/>
        <w:ind w:firstLine="709"/>
        <w:jc w:val="both"/>
        <w:rPr>
          <w:rStyle w:val="Odwoanieprzypisudolnego"/>
          <w:rFonts w:ascii="Times New Roman" w:hAnsi="Times New Roman"/>
          <w:bCs/>
          <w:sz w:val="20"/>
          <w:szCs w:val="20"/>
        </w:rPr>
      </w:pPr>
    </w:p>
    <w:p w14:paraId="13EB4706" w14:textId="77777777" w:rsidR="004954E1" w:rsidRDefault="004954E1" w:rsidP="004954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44106B19" w14:textId="77777777" w:rsidR="004954E1" w:rsidRDefault="004954E1" w:rsidP="004954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4E98795" w14:textId="77777777" w:rsidR="004954E1" w:rsidRDefault="004954E1" w:rsidP="004954E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4E032F60" w14:textId="77777777" w:rsidR="004954E1" w:rsidRDefault="004954E1" w:rsidP="004954E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CD039" w14:textId="77777777" w:rsidR="00C40D4A" w:rsidRDefault="00C40D4A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0E7F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12C4" w14:textId="77777777" w:rsidR="000E7F6C" w:rsidRDefault="000E7F6C" w:rsidP="00905AC6">
      <w:pPr>
        <w:spacing w:after="0" w:line="240" w:lineRule="auto"/>
      </w:pPr>
      <w:r>
        <w:separator/>
      </w:r>
    </w:p>
  </w:endnote>
  <w:endnote w:type="continuationSeparator" w:id="0">
    <w:p w14:paraId="7EC63B02" w14:textId="77777777" w:rsidR="000E7F6C" w:rsidRDefault="000E7F6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9732" w14:textId="77777777" w:rsidR="000E7F6C" w:rsidRDefault="000E7F6C" w:rsidP="00905AC6">
      <w:pPr>
        <w:spacing w:after="0" w:line="240" w:lineRule="auto"/>
      </w:pPr>
      <w:r>
        <w:separator/>
      </w:r>
    </w:p>
  </w:footnote>
  <w:footnote w:type="continuationSeparator" w:id="0">
    <w:p w14:paraId="5E091D8E" w14:textId="77777777" w:rsidR="000E7F6C" w:rsidRDefault="000E7F6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E7F6C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4954E1"/>
    <w:rsid w:val="00511373"/>
    <w:rsid w:val="00511D0A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2024-02-16T06:36:00Z</dcterms:created>
  <dcterms:modified xsi:type="dcterms:W3CDTF">2024-02-16T11:09:00Z</dcterms:modified>
</cp:coreProperties>
</file>