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0C" w:rsidRDefault="00974733">
      <w:pPr>
        <w:spacing w:line="1" w:lineRule="exact"/>
      </w:pPr>
      <w:r>
        <w:rPr>
          <w:noProof/>
          <w:lang w:bidi="ar-SA"/>
        </w:rPr>
        <w:drawing>
          <wp:anchor distT="0" distB="0" distL="114300" distR="1643380" simplePos="0" relativeHeight="125829378" behindDoc="0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20320</wp:posOffset>
            </wp:positionV>
            <wp:extent cx="871855" cy="104838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185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283210</wp:posOffset>
                </wp:positionV>
                <wp:extent cx="1362710" cy="7315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650C" w:rsidRDefault="00974733">
                            <w:pPr>
                              <w:pStyle w:val="Podpisobrazu0"/>
                              <w:spacing w:after="0"/>
                              <w:jc w:val="both"/>
                            </w:pPr>
                            <w:r>
                              <w:rPr>
                                <w:rStyle w:val="Podpisobrazu"/>
                              </w:rPr>
                              <w:t>ul. J. Słowackiego 11</w:t>
                            </w:r>
                          </w:p>
                          <w:p w:rsidR="0073650C" w:rsidRDefault="00974733">
                            <w:pPr>
                              <w:pStyle w:val="Podpisobrazu0"/>
                              <w:spacing w:after="180"/>
                            </w:pPr>
                            <w:r>
                              <w:rPr>
                                <w:rStyle w:val="Podpisobrazu"/>
                              </w:rPr>
                              <w:t>66-010 Nowogród Bobrzański NIP:9291004928</w:t>
                            </w:r>
                          </w:p>
                          <w:p w:rsidR="0073650C" w:rsidRDefault="00974733">
                            <w:pPr>
                              <w:pStyle w:val="Podpisobrazu0"/>
                              <w:spacing w:after="0"/>
                            </w:pPr>
                            <w:r>
                              <w:rPr>
                                <w:rStyle w:val="Podpisobrazu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Podpisobrazu"/>
                                  <w:lang w:val="en-US" w:eastAsia="en-US" w:bidi="en-US"/>
                                </w:rPr>
                                <w:t>now.bobrz.um@post.pl</w:t>
                              </w:r>
                            </w:hyperlink>
                            <w:r>
                              <w:rPr>
                                <w:rStyle w:val="Podpisobrazu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Podpisobrazu"/>
                              </w:rPr>
                              <w:t xml:space="preserve">web: </w:t>
                            </w:r>
                            <w:hyperlink r:id="rId9" w:history="1">
                              <w:r>
                                <w:rPr>
                                  <w:rStyle w:val="Podpisobrazu"/>
                                  <w:lang w:val="en-US" w:eastAsia="en-US" w:bidi="en-US"/>
                                </w:rPr>
                                <w:t>www.nowogrodbobrz.pl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8.80000000000001pt;margin-top:22.300000000000001pt;width:107.3pt;height:57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ul. J. Słowackiego 11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66-010 Nowogród Bobrzański NIP:9291004928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"mailto:now.bobrz.um@post.pl"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>now.bobrz.um@post.pl</w:t>
                      </w:r>
                      <w:r>
                        <w:fldChar w:fldCharType="end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"/>
                        </w:rPr>
                        <w:t xml:space="preserve">web: </w:t>
                      </w:r>
                      <w:r>
                        <w:fldChar w:fldCharType="begin"/>
                      </w:r>
                      <w:r>
                        <w:rPr/>
                        <w:instrText> HYPERLINK "http://www.nowogrodbobrz.pl"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>www.nowogrodbobrz.pl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12700</wp:posOffset>
                </wp:positionV>
                <wp:extent cx="3113405" cy="2260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650C" w:rsidRDefault="00974733">
                            <w:pPr>
                              <w:pStyle w:val="Nagwek10"/>
                              <w:keepNext/>
                              <w:keepLines/>
                            </w:pPr>
                            <w:bookmarkStart w:id="0" w:name="bookmark0"/>
                            <w:r>
                              <w:rPr>
                                <w:rStyle w:val="Nagwek1"/>
                                <w:b/>
                                <w:bCs/>
                              </w:rPr>
                              <w:t>Burmistrz Nowogrodu Bobrzańskiego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9.70000000000002pt;margin-top:1.pt;width:245.15000000000001pt;height:17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  <w:b/>
                          <w:bCs/>
                        </w:rPr>
                        <w:t>Burmistrz Nowogrodu Bobrzańskiego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650C" w:rsidRDefault="00974733">
      <w:pPr>
        <w:pStyle w:val="Teksttreci20"/>
      </w:pPr>
      <w:r>
        <w:rPr>
          <w:rStyle w:val="Teksttreci2"/>
        </w:rPr>
        <w:t xml:space="preserve">Dni i </w:t>
      </w:r>
      <w:r>
        <w:rPr>
          <w:rStyle w:val="Teksttreci2"/>
        </w:rPr>
        <w:t>godziny urzędowania: Poniedziałek 8.00-16.00 wtorek - piątek.7.00 - 15.00</w:t>
      </w:r>
    </w:p>
    <w:p w:rsidR="0073650C" w:rsidRDefault="00974733">
      <w:pPr>
        <w:pStyle w:val="Teksttreci20"/>
      </w:pPr>
      <w:r>
        <w:rPr>
          <w:rStyle w:val="Teksttreci2"/>
          <w:b/>
          <w:bCs/>
        </w:rPr>
        <w:t>Nr telefonów i faksów:</w:t>
      </w:r>
    </w:p>
    <w:p w:rsidR="0073650C" w:rsidRDefault="00974733">
      <w:pPr>
        <w:pStyle w:val="Teksttreci20"/>
      </w:pPr>
      <w:r>
        <w:rPr>
          <w:rStyle w:val="Teksttreci2"/>
        </w:rPr>
        <w:t>Centrala 68 329-09-62</w:t>
      </w:r>
    </w:p>
    <w:p w:rsidR="0073650C" w:rsidRDefault="00974733">
      <w:pPr>
        <w:pStyle w:val="Teksttreci20"/>
        <w:sectPr w:rsidR="0073650C">
          <w:footerReference w:type="default" r:id="rId10"/>
          <w:pgSz w:w="11900" w:h="16840"/>
          <w:pgMar w:top="1090" w:right="1583" w:bottom="1304" w:left="5723" w:header="662" w:footer="3" w:gutter="0"/>
          <w:pgNumType w:start="1"/>
          <w:cols w:num="2" w:space="720" w:equalWidth="0">
            <w:col w:w="2200" w:space="490"/>
            <w:col w:w="1904"/>
          </w:cols>
          <w:noEndnote/>
          <w:docGrid w:linePitch="360"/>
        </w:sectPr>
      </w:pPr>
      <w:r>
        <w:rPr>
          <w:rStyle w:val="Teksttreci2"/>
        </w:rPr>
        <w:t>Fax 68 329-09-62</w:t>
      </w:r>
    </w:p>
    <w:p w:rsidR="0073650C" w:rsidRDefault="0073650C">
      <w:pPr>
        <w:spacing w:line="41" w:lineRule="exact"/>
        <w:rPr>
          <w:sz w:val="3"/>
          <w:szCs w:val="3"/>
        </w:rPr>
      </w:pPr>
    </w:p>
    <w:p w:rsidR="0073650C" w:rsidRDefault="0073650C">
      <w:pPr>
        <w:spacing w:line="1" w:lineRule="exact"/>
        <w:sectPr w:rsidR="0073650C">
          <w:type w:val="continuous"/>
          <w:pgSz w:w="11900" w:h="16840"/>
          <w:pgMar w:top="1490" w:right="0" w:bottom="1304" w:left="0" w:header="0" w:footer="3" w:gutter="0"/>
          <w:cols w:space="720"/>
          <w:noEndnote/>
          <w:docGrid w:linePitch="360"/>
        </w:sectPr>
      </w:pPr>
    </w:p>
    <w:p w:rsidR="00862C0E" w:rsidRDefault="00862C0E">
      <w:pPr>
        <w:pStyle w:val="Teksttreci30"/>
        <w:rPr>
          <w:rStyle w:val="Teksttreci3"/>
        </w:rPr>
      </w:pPr>
    </w:p>
    <w:p w:rsidR="0073650C" w:rsidRDefault="00974733">
      <w:pPr>
        <w:pStyle w:val="Teksttreci30"/>
      </w:pPr>
      <w:r>
        <w:rPr>
          <w:rStyle w:val="Teksttreci3"/>
        </w:rPr>
        <w:t>Załącznik do decyzji Burmistrza Nowogrodu Bobrzańskiego znak: GKIIL6220.13.2021.MJS z dnia 11 lipca 2022r.</w:t>
      </w:r>
    </w:p>
    <w:p w:rsidR="0073650C" w:rsidRDefault="00974733">
      <w:pPr>
        <w:pStyle w:val="Teksttreci30"/>
        <w:spacing w:after="540" w:line="240" w:lineRule="auto"/>
        <w:ind w:left="0"/>
        <w:jc w:val="center"/>
      </w:pPr>
      <w:r>
        <w:rPr>
          <w:rStyle w:val="Teksttreci3"/>
          <w:b/>
          <w:bCs/>
        </w:rPr>
        <w:t>CHARAKTERYSTYKA PRZEDSIĘWZIĘCIA</w:t>
      </w:r>
    </w:p>
    <w:p w:rsidR="0073650C" w:rsidRDefault="00974733">
      <w:pPr>
        <w:pStyle w:val="Teksttreci0"/>
        <w:spacing w:after="0"/>
        <w:ind w:firstLine="740"/>
        <w:jc w:val="both"/>
      </w:pPr>
      <w:r>
        <w:rPr>
          <w:rStyle w:val="Teksttreci"/>
        </w:rPr>
        <w:t xml:space="preserve">Planowane przedsięwzięcie polega </w:t>
      </w:r>
      <w:r>
        <w:rPr>
          <w:rStyle w:val="Teksttreci"/>
        </w:rPr>
        <w:t>na budowie farmy fotowoltaicznej o mocy do 1 MW wraz z infrastrukturą towarzyszącą na dz</w:t>
      </w:r>
      <w:bookmarkStart w:id="1" w:name="_GoBack"/>
      <w:bookmarkEnd w:id="1"/>
      <w:r>
        <w:rPr>
          <w:rStyle w:val="Teksttreci"/>
        </w:rPr>
        <w:t xml:space="preserve">iałce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 xml:space="preserve">. 32/2 obręb </w:t>
      </w:r>
      <w:proofErr w:type="spellStart"/>
      <w:r>
        <w:rPr>
          <w:rStyle w:val="Teksttreci"/>
        </w:rPr>
        <w:t>Pierzwin</w:t>
      </w:r>
      <w:proofErr w:type="spellEnd"/>
      <w:r>
        <w:rPr>
          <w:rStyle w:val="Teksttreci"/>
        </w:rPr>
        <w:t>, gmina Nowogród Bobrzański. Powierzchnia działki wynosi 8,5408 ha. Planowana inwestycja zajmować będzie powierzchnię do 2 ha. Dla t</w:t>
      </w:r>
      <w:r>
        <w:rPr>
          <w:rStyle w:val="Teksttreci"/>
        </w:rPr>
        <w:t>erenu inwestycji brak jest miejscowego planu zagospodarowania przestrzennego. Bezpośrednie sąsiedztwo planowanego przedsięwzięcia stanowią tereny rolne i leśne. Najbliższa zwarta zabudowa mieszkalna położona jest w odległości ok. 600 m od miejsca realizacj</w:t>
      </w:r>
      <w:r>
        <w:rPr>
          <w:rStyle w:val="Teksttreci"/>
        </w:rPr>
        <w:t>i inwestycji.</w:t>
      </w:r>
    </w:p>
    <w:p w:rsidR="0073650C" w:rsidRDefault="00974733">
      <w:pPr>
        <w:pStyle w:val="Teksttreci0"/>
        <w:spacing w:after="0"/>
        <w:jc w:val="both"/>
      </w:pPr>
      <w:r>
        <w:rPr>
          <w:rStyle w:val="Teksttreci"/>
        </w:rPr>
        <w:t>W ramach inwestycji planuje się montaż: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718"/>
        </w:tabs>
        <w:spacing w:after="0"/>
        <w:ind w:left="720" w:hanging="340"/>
        <w:jc w:val="both"/>
      </w:pPr>
      <w:r>
        <w:rPr>
          <w:rStyle w:val="Teksttreci"/>
        </w:rPr>
        <w:t xml:space="preserve">modułów fotowoltaicznych- ok. 2500 paneli fotowoltaicznych o mocy 400-1000 W (lub wyższej), które zamontowane zostaną na stalowych konstrukcjach montażowych. Konstrukcja mocowana będzie na pojedynczych </w:t>
      </w:r>
      <w:r>
        <w:rPr>
          <w:rStyle w:val="Teksttreci"/>
        </w:rPr>
        <w:t>podporach, które wbijane będą kafarem w ziemie na głębokość ok. 1,5 m w zależności od rodzaju gruntu. Wysokość całej konstrukcji nie przekroczy 3m.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718"/>
        </w:tabs>
        <w:spacing w:after="0"/>
        <w:ind w:left="720" w:hanging="340"/>
        <w:jc w:val="both"/>
      </w:pPr>
      <w:r>
        <w:rPr>
          <w:rStyle w:val="Teksttreci"/>
        </w:rPr>
        <w:t>falowników (inwerterów)- na terenie całej inwestycji przewiduje się usytuowanie do ok. 40 falowników.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  <w:jc w:val="both"/>
      </w:pPr>
      <w:r>
        <w:rPr>
          <w:rStyle w:val="Teksttreci"/>
        </w:rPr>
        <w:t>stacji</w:t>
      </w:r>
      <w:r>
        <w:rPr>
          <w:rStyle w:val="Teksttreci"/>
        </w:rPr>
        <w:t xml:space="preserve"> transformatorowej rozdzielczej,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  <w:jc w:val="both"/>
      </w:pPr>
      <w:r>
        <w:rPr>
          <w:rStyle w:val="Teksttreci"/>
        </w:rPr>
        <w:t>przyłącza elektroenergetycznego,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  <w:jc w:val="both"/>
      </w:pPr>
      <w:r>
        <w:rPr>
          <w:rStyle w:val="Teksttreci"/>
        </w:rPr>
        <w:t>ścieżki technologiczne,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698"/>
        </w:tabs>
        <w:spacing w:after="0"/>
        <w:ind w:firstLine="360"/>
        <w:jc w:val="both"/>
      </w:pPr>
      <w:r>
        <w:rPr>
          <w:rStyle w:val="Teksttreci"/>
        </w:rPr>
        <w:t>ogrodzenie instalacji,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718"/>
        </w:tabs>
        <w:spacing w:after="0"/>
        <w:ind w:left="720" w:hanging="340"/>
        <w:jc w:val="both"/>
      </w:pPr>
      <w:r>
        <w:rPr>
          <w:rStyle w:val="Teksttreci"/>
        </w:rPr>
        <w:t>inne niezbędne do funkcjonowania przedsięwzięcia urządzenia infrastruktury w urządzenia monitoringu elektrowni, systemy ochrony obiektu, tj. ka</w:t>
      </w:r>
      <w:r>
        <w:rPr>
          <w:rStyle w:val="Teksttreci"/>
        </w:rPr>
        <w:t>mery monitoringu wizyjnego, systemy alarmowe oraz kontroli dostępu.</w:t>
      </w:r>
    </w:p>
    <w:p w:rsidR="0073650C" w:rsidRDefault="00974733">
      <w:pPr>
        <w:pStyle w:val="Teksttreci0"/>
        <w:numPr>
          <w:ilvl w:val="0"/>
          <w:numId w:val="1"/>
        </w:numPr>
        <w:tabs>
          <w:tab w:val="left" w:pos="718"/>
        </w:tabs>
        <w:ind w:left="720" w:hanging="340"/>
        <w:jc w:val="both"/>
      </w:pPr>
      <w:r>
        <w:rPr>
          <w:rStyle w:val="Teksttreci"/>
        </w:rPr>
        <w:t>Opcjonalnie planuje się kontenerowy magazyn energii posadowiony na gruncie lub konstrukcji palowej.</w:t>
      </w:r>
    </w:p>
    <w:p w:rsidR="0073650C" w:rsidRDefault="00974733">
      <w:pPr>
        <w:pStyle w:val="Teksttreci0"/>
        <w:jc w:val="both"/>
      </w:pPr>
      <w:r>
        <w:rPr>
          <w:rStyle w:val="Teksttreci"/>
        </w:rPr>
        <w:t>Uwzględniając łącznie uwarunkowania związane z kwalifikowaniem przedsięwzięcia do przepr</w:t>
      </w:r>
      <w:r>
        <w:rPr>
          <w:rStyle w:val="Teksttreci"/>
        </w:rPr>
        <w:t xml:space="preserve">owadzenia oceny oddziaływania na środowisko, określone w art. 63 ustawy o </w:t>
      </w:r>
      <w:proofErr w:type="spellStart"/>
      <w:r>
        <w:rPr>
          <w:rStyle w:val="Teksttreci"/>
        </w:rPr>
        <w:t>ooś</w:t>
      </w:r>
      <w:proofErr w:type="spellEnd"/>
      <w:r>
        <w:rPr>
          <w:rStyle w:val="Teksttreci"/>
        </w:rPr>
        <w:t>, po analizie wniosku o wydanie decyzji o środowiskowych uwarunkowaniach dla planowanego przedsięwzięcia oraz karty informacyjnej przedsięwzięcia, stwierdzono, że nie jest ono zlo</w:t>
      </w:r>
      <w:r>
        <w:rPr>
          <w:rStyle w:val="Teksttreci"/>
        </w:rPr>
        <w:t>kalizowane na obszarach wodno-błotnych, oraz innych obszarach o płytkim zaleganiu wód podziemnych, w tym siedliskach łęgowych oraz ujściach rzek, na obszarach wybrzeży i w środowisku morskim, obszarach górskich lub leśnych. Przedsięwzięcie nie jest również</w:t>
      </w:r>
      <w:r>
        <w:rPr>
          <w:rStyle w:val="Teksttreci"/>
        </w:rPr>
        <w:t xml:space="preserve"> zlokalizowane na obszarach objętych ochroną, w tym strefach ochronnych ujęć wód i obszarach ochronnych zbiorników wód śródlądowych, obszarach na których standardy jakości środowiska zostały przekroczone lub istnieje prawdopodobieństwo ich przekroczenia, o</w:t>
      </w:r>
      <w:r>
        <w:rPr>
          <w:rStyle w:val="Teksttreci"/>
        </w:rPr>
        <w:t>bszarach o krajobrazie mającym znaczenie historyczne, kulturowe lub archeologiczne. Przedsięwzięcie nie jest również zlokalizowane w granicach obszarów objętych ochroną, w tym obszarach sieci Natura 2000, i nie będzie oddziaływać na gatunki i siedliska tam</w:t>
      </w:r>
      <w:r>
        <w:rPr>
          <w:rStyle w:val="Teksttreci"/>
        </w:rPr>
        <w:t xml:space="preserve"> chronione oraz nie spowoduje fragmentacji obszarów. Najbliżej położonym obszarem objętych ochroną na podstawie ustawy z dnia 16 kwietnia 2004 r. o ochronie przyrody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 Dz. U. z 2022 r. poz. 916.), w stosunku do planowanej inwestycji jest Broniszów PLH0</w:t>
      </w:r>
      <w:r>
        <w:rPr>
          <w:rStyle w:val="Teksttreci"/>
        </w:rPr>
        <w:t>80033 zlokalizowany w odległości ok. 2,5 km od terenu inwestycji. Analizowana inwestycja położona jest poza obszarami głównych zbiorników wód podziemnych i obszarami szczególnego zagrożenia powodzią. Przedsięwzięcie znajduje się w obszarze projektowanego k</w:t>
      </w:r>
      <w:r>
        <w:rPr>
          <w:rStyle w:val="Teksttreci"/>
        </w:rPr>
        <w:t>orytarza</w:t>
      </w:r>
      <w:r>
        <w:rPr>
          <w:rStyle w:val="Teksttreci"/>
        </w:rPr>
        <w:br w:type="page"/>
      </w:r>
      <w:r>
        <w:rPr>
          <w:rStyle w:val="Teksttreci"/>
        </w:rPr>
        <w:lastRenderedPageBreak/>
        <w:t xml:space="preserve">ekologicznego Zielona Góra (o przebiegu podanym na stronie: </w:t>
      </w:r>
      <w:hyperlink r:id="rId11" w:history="1">
        <w:r>
          <w:rPr>
            <w:rStyle w:val="Teksttreci"/>
            <w:color w:val="2B6AA0"/>
            <w:u w:val="single"/>
            <w:lang w:val="en-US" w:eastAsia="en-US" w:bidi="en-US"/>
          </w:rPr>
          <w:t>http://geoserwis.gdos.gov.pl/</w:t>
        </w:r>
      </w:hyperlink>
      <w:r>
        <w:rPr>
          <w:rStyle w:val="Teksttreci"/>
          <w:color w:val="2B6AA0"/>
          <w:lang w:val="en-US" w:eastAsia="en-US" w:bidi="en-US"/>
        </w:rPr>
        <w:t xml:space="preserve">). </w:t>
      </w:r>
      <w:r>
        <w:rPr>
          <w:rStyle w:val="Teksttreci"/>
        </w:rPr>
        <w:t xml:space="preserve">Rolą korytarza ekologicznego jest zapewnienie łączności w skali całego kraju i w skali międzynarodowej. </w:t>
      </w:r>
      <w:r>
        <w:rPr>
          <w:rStyle w:val="Teksttreci"/>
        </w:rPr>
        <w:t>Inwestycja nie będzie miała istotnego, negatywnego wpływu na ww. projektowany lądowy korytarz ekologiczny. Na terenie planowanej inwestycji nie występują cieki naturalne. Działka nr 32/2 graniczy z rowami melioracyjnymi (dz. nr 31/4, rów nie wydzielony z d</w:t>
      </w:r>
      <w:r>
        <w:rPr>
          <w:rStyle w:val="Teksttreci"/>
        </w:rPr>
        <w:t>ziałki nr 32/1) i jest pod wpływem ich oddziaływania.</w:t>
      </w:r>
    </w:p>
    <w:p w:rsidR="0073650C" w:rsidRDefault="00974733">
      <w:pPr>
        <w:pStyle w:val="Teksttreci0"/>
        <w:jc w:val="both"/>
      </w:pPr>
      <w:r>
        <w:rPr>
          <w:rStyle w:val="Teksttreci"/>
        </w:rPr>
        <w:t>Etap realizacji inwestycji nie będzie związany ze znaczącymi oddziaływaniami. Panele będą montowane na stalowych stelażach wbijanych w ziemię. Ponadto, w ziemi przebiegać będą kable elektryczne. W główn</w:t>
      </w:r>
      <w:r>
        <w:rPr>
          <w:rStyle w:val="Teksttreci"/>
        </w:rPr>
        <w:t xml:space="preserve">ej mierze występować będzie emisja hałasu i niezorganizowana emisja zanieczyszczeń do powietrza, której źródłem będą maszyny i urządzenia budowlane. Zarówno transport elementów konstrukcyjnych i infrastruktury technicznej, jak i prace budowlane prowadzone </w:t>
      </w:r>
      <w:r>
        <w:rPr>
          <w:rStyle w:val="Teksttreci"/>
        </w:rPr>
        <w:t>będą wyłącznie w porze dziennej. Zaplecze budowy wyposażone będzie w przenośne toalety. Odpady powstające podczas realizacji przedsięwzięcia będą magazynowane selektywnie, w miejscach gwarantujących bezpieczne magazynowanie i przekazywane odbiorcom posiada</w:t>
      </w:r>
      <w:r>
        <w:rPr>
          <w:rStyle w:val="Teksttreci"/>
        </w:rPr>
        <w:t>jącym stosowne zezwolenia, zgodnie z obowiązującymi przepisami. Wody opadowe lub roztopowe z terenu inwestycji odprowadzane będą w sposób niezorganizowany do gruntu w granicach działki, bez powodowania oddziaływania na tereny sąsiednie. Oddziaływania na et</w:t>
      </w:r>
      <w:r>
        <w:rPr>
          <w:rStyle w:val="Teksttreci"/>
        </w:rPr>
        <w:t>apie realizacji będą miały charakter krótkookresowy, odwracalny i lokalny oraz ustaną po zakończeniu budowy.</w:t>
      </w:r>
    </w:p>
    <w:p w:rsidR="0073650C" w:rsidRDefault="00974733">
      <w:pPr>
        <w:pStyle w:val="Teksttreci0"/>
        <w:spacing w:after="0"/>
        <w:jc w:val="both"/>
      </w:pPr>
      <w:r>
        <w:rPr>
          <w:rStyle w:val="Teksttreci"/>
        </w:rPr>
        <w:t xml:space="preserve">Z uwagi na rodzaj planowanej inwestycji, etap użytkowania nie będzie związany ze znaczącą emisją hałasu, czy emisją zanieczyszczeń do powietrza. </w:t>
      </w:r>
      <w:r>
        <w:rPr>
          <w:rStyle w:val="Teksttreci"/>
        </w:rPr>
        <w:t>Źródłem emisji hałasu będą przede wszystkim falowniki oraz stacja transformatorowa wyposażona w transformator olejowy lub suchy. W przypadku montażu transformatora olejowego stacja transformatorowa zostanie wyposażona w szczelną misę olejową, która w razie</w:t>
      </w:r>
      <w:r>
        <w:rPr>
          <w:rStyle w:val="Teksttreci"/>
        </w:rPr>
        <w:t xml:space="preserve"> awarii będzie w stanie przyjąć minimum 100% zawartości cieczy transformatorowej. Rozwiązanie to będzie chroniło środowisko przed przedostaniem się do niego ww. substancji ciekłych. Na etapie eksploatacji zastosowane zostaną środki ograniczające ewentualne</w:t>
      </w:r>
      <w:r>
        <w:rPr>
          <w:rStyle w:val="Teksttreci"/>
        </w:rPr>
        <w:t xml:space="preserve"> oddziaływania na środowisko, tj.: chłodzenie instalacji poprzez obieg naturalny powietrza, bez wykorzystania wentylatorów, usytuowanie transformatora wewnątrz kontenera- ograniczy to ewentualną emisję hałasu, a także potencjalne pole elektromagnetyczne, w</w:t>
      </w:r>
      <w:r>
        <w:rPr>
          <w:rStyle w:val="Teksttreci"/>
        </w:rPr>
        <w:t>ykonanie powłok antyrefleksyjnych, co zminimalizuje efekt odbicia. Mając na uwadze skalę i odległość planowanej elektrowni od zabudowy mieszkaniowej, brak jest przesłanek do uznania oddziaływania w tym zakresie za znaczące. Inwestycja nie wiąże się z pobor</w:t>
      </w:r>
      <w:r>
        <w:rPr>
          <w:rStyle w:val="Teksttreci"/>
        </w:rPr>
        <w:t>em wody. Na terenie inwestycji nie będą wytwarzane ścieki. Czyszczenie paneli będzie odbywało się specjalistycznym sprzętem, który nie wymaga dostępu do wody bieżącej bez użycia detergentów. W przypadku konieczności mycia dużych zabrudzeń dopuszcza się moż</w:t>
      </w:r>
      <w:r>
        <w:rPr>
          <w:rStyle w:val="Teksttreci"/>
        </w:rPr>
        <w:t>liwość użycia środków biodegradowalnych.</w:t>
      </w:r>
    </w:p>
    <w:p w:rsidR="0073650C" w:rsidRDefault="00974733">
      <w:pPr>
        <w:pStyle w:val="Teksttreci0"/>
        <w:ind w:firstLine="700"/>
        <w:jc w:val="both"/>
      </w:pPr>
      <w:r>
        <w:rPr>
          <w:rStyle w:val="Teksttreci"/>
        </w:rPr>
        <w:t>Planowana inwestycja związana jest z wykorzystywaniem energii słonecznej, zatem zalicza się do odnawialnych źródeł energii, tym samym wpisuje się trend ograniczania zużycia paliw kopalnych, a w konsekwencji wpływu n</w:t>
      </w:r>
      <w:r>
        <w:rPr>
          <w:rStyle w:val="Teksttreci"/>
        </w:rPr>
        <w:t xml:space="preserve">a spowolnienie ewentualnych zmian klimatu. Inwestycja zlokalizowana będzie na terenie użytkowanym przez człowieka. Przedsięwzięcie nie będzie źródłem emisji gazów cieplarnianych. Inwestycja nie spowoduje także zajęcia terenów zdolnych do pochłaniania tego </w:t>
      </w:r>
      <w:r>
        <w:rPr>
          <w:rStyle w:val="Teksttreci"/>
        </w:rPr>
        <w:t>rodzaju gazów. Podobnie nie wpłynie na możliwość retencji wód powodziowych na tych terenach. Z tych samych względów nie wpłynie ona na różnorodność biologiczną na tym obszarze.</w:t>
      </w:r>
    </w:p>
    <w:sectPr w:rsidR="0073650C">
      <w:type w:val="continuous"/>
      <w:pgSz w:w="11900" w:h="16840"/>
      <w:pgMar w:top="1490" w:right="1311" w:bottom="1304" w:left="1430" w:header="10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33" w:rsidRDefault="00974733">
      <w:r>
        <w:separator/>
      </w:r>
    </w:p>
  </w:endnote>
  <w:endnote w:type="continuationSeparator" w:id="0">
    <w:p w:rsidR="00974733" w:rsidRDefault="009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0C" w:rsidRDefault="009747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9966960</wp:posOffset>
              </wp:positionV>
              <wp:extent cx="52705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650C" w:rsidRDefault="00974733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</w:rPr>
                            <w:fldChar w:fldCharType="separate"/>
                          </w:r>
                          <w:r w:rsidR="00862C0E">
                            <w:rPr>
                              <w:rStyle w:val="Nagweklubstopka2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20.35pt;margin-top:784.8pt;width:4.1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" filled="f" stroked="f">
              <v:textbox style="mso-fit-shape-to-text:t" inset="0,0,0,0">
                <w:txbxContent>
                  <w:p w:rsidR="0073650C" w:rsidRDefault="00974733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fldChar w:fldCharType="begin"/>
                    </w:r>
                    <w:r>
                      <w:rPr>
                        <w:rStyle w:val="Nagweklubstopka2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</w:rPr>
                      <w:fldChar w:fldCharType="separate"/>
                    </w:r>
                    <w:r w:rsidR="00862C0E">
                      <w:rPr>
                        <w:rStyle w:val="Nagweklubstopka2"/>
                        <w:noProof/>
                      </w:rPr>
                      <w:t>1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33" w:rsidRDefault="00974733"/>
  </w:footnote>
  <w:footnote w:type="continuationSeparator" w:id="0">
    <w:p w:rsidR="00974733" w:rsidRDefault="009747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4AA2"/>
    <w:multiLevelType w:val="multilevel"/>
    <w:tmpl w:val="CC988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0C"/>
    <w:rsid w:val="0073650C"/>
    <w:rsid w:val="00862C0E"/>
    <w:rsid w:val="009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03FE-88B3-4D65-9372-44EACBE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after="90"/>
    </w:pPr>
    <w:rPr>
      <w:rFonts w:ascii="Cambria" w:eastAsia="Cambria" w:hAnsi="Cambria" w:cs="Cambria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Pr>
      <w:rFonts w:ascii="Cambria" w:eastAsia="Cambria" w:hAnsi="Cambria" w:cs="Cambria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300" w:line="276" w:lineRule="auto"/>
      <w:ind w:left="3220"/>
      <w:jc w:val="right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after="12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.bobrz.um@pos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serwis.gdos.gov.p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C224E_PIETRO-20220711160708</dc:title>
  <dc:subject/>
  <dc:creator/>
  <cp:keywords/>
  <cp:lastModifiedBy>Konto Microsoft</cp:lastModifiedBy>
  <cp:revision>3</cp:revision>
  <dcterms:created xsi:type="dcterms:W3CDTF">2022-07-12T12:14:00Z</dcterms:created>
  <dcterms:modified xsi:type="dcterms:W3CDTF">2022-07-12T12:15:00Z</dcterms:modified>
</cp:coreProperties>
</file>