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page" w:horzAnchor="margin" w:tblpXSpec="center" w:tblpY="946"/>
        <w:tblW w:w="10316" w:type="dxa"/>
        <w:jc w:val="center"/>
        <w:tblLayout w:type="fixed"/>
        <w:tblLook w:val="01E0" w:firstRow="1" w:lastRow="1" w:firstColumn="1" w:lastColumn="1" w:noHBand="0" w:noVBand="0"/>
      </w:tblPr>
      <w:tblGrid>
        <w:gridCol w:w="2043"/>
        <w:gridCol w:w="2743"/>
        <w:gridCol w:w="2694"/>
        <w:gridCol w:w="1133"/>
        <w:gridCol w:w="1703"/>
      </w:tblGrid>
      <w:tr w:rsidR="00F51C1D" w14:paraId="77448768" w14:textId="77777777">
        <w:trPr>
          <w:trHeight w:val="567"/>
          <w:jc w:val="center"/>
        </w:trPr>
        <w:tc>
          <w:tcPr>
            <w:tcW w:w="2042" w:type="dxa"/>
            <w:vMerge w:val="restart"/>
            <w:tcBorders>
              <w:top w:val="nil"/>
              <w:left w:val="nil"/>
              <w:bottom w:val="double" w:sz="4" w:space="0" w:color="595959"/>
              <w:right w:val="nil"/>
            </w:tcBorders>
          </w:tcPr>
          <w:p w14:paraId="7C01023E" w14:textId="77777777" w:rsidR="00F51C1D" w:rsidRDefault="00000000">
            <w:pPr>
              <w:tabs>
                <w:tab w:val="center" w:pos="4536"/>
                <w:tab w:val="right" w:pos="9072"/>
              </w:tabs>
              <w:spacing w:after="0" w:line="240" w:lineRule="auto"/>
              <w:rPr>
                <w:rFonts w:ascii="MS Sans Serif" w:hAnsi="MS Sans Serif"/>
                <w:lang w:val="en-US"/>
              </w:rPr>
            </w:pPr>
            <w:r>
              <w:rPr>
                <w:rFonts w:ascii="MS Sans Serif" w:eastAsia="Times New Roman" w:hAnsi="MS Sans Serif" w:cs="Times New Roman"/>
                <w:noProof/>
                <w:lang w:val="en-US"/>
              </w:rPr>
              <w:drawing>
                <wp:anchor distT="0" distB="0" distL="0" distR="0" simplePos="0" relativeHeight="2" behindDoc="0" locked="0" layoutInCell="1" allowOverlap="1" wp14:anchorId="3C6AD3DE" wp14:editId="694EC962">
                  <wp:simplePos x="0" y="0"/>
                  <wp:positionH relativeFrom="column">
                    <wp:posOffset>245745</wp:posOffset>
                  </wp:positionH>
                  <wp:positionV relativeFrom="paragraph">
                    <wp:posOffset>104140</wp:posOffset>
                  </wp:positionV>
                  <wp:extent cx="857250" cy="1043940"/>
                  <wp:effectExtent l="0" t="0" r="0" b="0"/>
                  <wp:wrapNone/>
                  <wp:docPr id="1" name="Obraz 1" descr="h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hnb"/>
                          <pic:cNvPicPr>
                            <a:picLocks noChangeAspect="1" noChangeArrowheads="1"/>
                          </pic:cNvPicPr>
                        </pic:nvPicPr>
                        <pic:blipFill>
                          <a:blip r:embed="rId7"/>
                          <a:stretch>
                            <a:fillRect/>
                          </a:stretch>
                        </pic:blipFill>
                        <pic:spPr bwMode="auto">
                          <a:xfrm>
                            <a:off x="0" y="0"/>
                            <a:ext cx="857250" cy="1043940"/>
                          </a:xfrm>
                          <a:prstGeom prst="rect">
                            <a:avLst/>
                          </a:prstGeom>
                        </pic:spPr>
                      </pic:pic>
                    </a:graphicData>
                  </a:graphic>
                </wp:anchor>
              </w:drawing>
            </w:r>
          </w:p>
        </w:tc>
        <w:tc>
          <w:tcPr>
            <w:tcW w:w="6570" w:type="dxa"/>
            <w:gridSpan w:val="3"/>
            <w:tcBorders>
              <w:top w:val="nil"/>
              <w:left w:val="nil"/>
              <w:bottom w:val="nil"/>
              <w:right w:val="nil"/>
            </w:tcBorders>
            <w:vAlign w:val="center"/>
          </w:tcPr>
          <w:p w14:paraId="4DC002ED" w14:textId="77777777" w:rsidR="00F51C1D" w:rsidRDefault="00000000">
            <w:pPr>
              <w:tabs>
                <w:tab w:val="center" w:pos="4536"/>
                <w:tab w:val="right" w:pos="9072"/>
              </w:tabs>
              <w:spacing w:after="0" w:line="240" w:lineRule="auto"/>
              <w:rPr>
                <w:rFonts w:ascii="Cambria" w:hAnsi="Cambria"/>
                <w:b/>
                <w:color w:val="595959" w:themeColor="text1" w:themeTint="A6"/>
                <w:sz w:val="28"/>
                <w:szCs w:val="28"/>
              </w:rPr>
            </w:pPr>
            <w:r>
              <w:rPr>
                <w:rFonts w:ascii="Cambria" w:eastAsia="Times New Roman" w:hAnsi="Cambria" w:cs="Times New Roman"/>
                <w:b/>
                <w:color w:val="595959" w:themeColor="text1" w:themeTint="A6"/>
                <w:sz w:val="28"/>
                <w:szCs w:val="28"/>
              </w:rPr>
              <w:t>Burmistrz Nowogrodu Bobrzańskiego</w:t>
            </w:r>
          </w:p>
        </w:tc>
        <w:tc>
          <w:tcPr>
            <w:tcW w:w="1703" w:type="dxa"/>
            <w:tcBorders>
              <w:top w:val="nil"/>
              <w:left w:val="nil"/>
              <w:bottom w:val="nil"/>
              <w:right w:val="nil"/>
            </w:tcBorders>
          </w:tcPr>
          <w:p w14:paraId="5A3D286B" w14:textId="77777777" w:rsidR="00F51C1D" w:rsidRDefault="00F51C1D">
            <w:pPr>
              <w:tabs>
                <w:tab w:val="center" w:pos="4536"/>
                <w:tab w:val="right" w:pos="9072"/>
              </w:tabs>
              <w:spacing w:after="0" w:line="240" w:lineRule="auto"/>
              <w:jc w:val="right"/>
              <w:rPr>
                <w:rFonts w:ascii="MS Sans Serif" w:hAnsi="MS Sans Serif"/>
                <w:color w:val="595959" w:themeColor="text1" w:themeTint="A6"/>
                <w:lang w:val="en-US"/>
              </w:rPr>
            </w:pPr>
          </w:p>
        </w:tc>
      </w:tr>
      <w:tr w:rsidR="00F51C1D" w14:paraId="53DA1214" w14:textId="77777777">
        <w:trPr>
          <w:trHeight w:val="1418"/>
          <w:jc w:val="center"/>
        </w:trPr>
        <w:tc>
          <w:tcPr>
            <w:tcW w:w="2042" w:type="dxa"/>
            <w:vMerge/>
            <w:tcBorders>
              <w:top w:val="nil"/>
              <w:left w:val="nil"/>
              <w:bottom w:val="double" w:sz="4" w:space="0" w:color="595959"/>
              <w:right w:val="nil"/>
            </w:tcBorders>
          </w:tcPr>
          <w:p w14:paraId="1B0B8843" w14:textId="77777777" w:rsidR="00F51C1D" w:rsidRDefault="00F51C1D">
            <w:pPr>
              <w:tabs>
                <w:tab w:val="center" w:pos="4536"/>
                <w:tab w:val="right" w:pos="9072"/>
              </w:tabs>
              <w:spacing w:after="0" w:line="240" w:lineRule="auto"/>
              <w:rPr>
                <w:rFonts w:ascii="MS Sans Serif" w:hAnsi="MS Sans Serif"/>
                <w:lang w:val="en-US"/>
              </w:rPr>
            </w:pPr>
          </w:p>
        </w:tc>
        <w:tc>
          <w:tcPr>
            <w:tcW w:w="2743" w:type="dxa"/>
            <w:tcBorders>
              <w:top w:val="nil"/>
              <w:left w:val="nil"/>
              <w:bottom w:val="double" w:sz="4" w:space="0" w:color="595959"/>
              <w:right w:val="nil"/>
            </w:tcBorders>
          </w:tcPr>
          <w:p w14:paraId="24771FF9" w14:textId="77777777" w:rsidR="00F51C1D" w:rsidRDefault="00000000">
            <w:pPr>
              <w:spacing w:after="0" w:line="240" w:lineRule="auto"/>
              <w:rPr>
                <w:color w:val="595959" w:themeColor="text1" w:themeTint="A6"/>
                <w:sz w:val="16"/>
                <w:szCs w:val="16"/>
              </w:rPr>
            </w:pPr>
            <w:r>
              <w:rPr>
                <w:rFonts w:ascii="Cambria" w:eastAsia="Times New Roman" w:hAnsi="Cambria" w:cs="Times New Roman"/>
                <w:color w:val="595959" w:themeColor="text1" w:themeTint="A6"/>
                <w:sz w:val="16"/>
                <w:szCs w:val="16"/>
              </w:rPr>
              <w:t>ul. J. Słowackiego 11</w:t>
            </w:r>
          </w:p>
          <w:p w14:paraId="09125EB0" w14:textId="77777777" w:rsidR="00F51C1D" w:rsidRDefault="00000000">
            <w:pPr>
              <w:spacing w:after="0" w:line="240" w:lineRule="auto"/>
              <w:rPr>
                <w:rFonts w:ascii="Cambria" w:hAnsi="Cambria"/>
                <w:color w:val="595959" w:themeColor="text1" w:themeTint="A6"/>
                <w:sz w:val="16"/>
                <w:szCs w:val="16"/>
              </w:rPr>
            </w:pPr>
            <w:r>
              <w:rPr>
                <w:rFonts w:ascii="Cambria" w:eastAsia="Times New Roman" w:hAnsi="Cambria" w:cs="Times New Roman"/>
                <w:color w:val="595959" w:themeColor="text1" w:themeTint="A6"/>
                <w:sz w:val="16"/>
                <w:szCs w:val="16"/>
              </w:rPr>
              <w:t>66-010 Nowogród Bobrzański</w:t>
            </w:r>
          </w:p>
          <w:p w14:paraId="20C74781" w14:textId="77777777" w:rsidR="00F51C1D" w:rsidRDefault="00000000">
            <w:pPr>
              <w:spacing w:after="0" w:line="240" w:lineRule="auto"/>
              <w:rPr>
                <w:rFonts w:ascii="Cambria" w:hAnsi="Cambria"/>
                <w:color w:val="595959" w:themeColor="text1" w:themeTint="A6"/>
                <w:sz w:val="16"/>
                <w:szCs w:val="16"/>
              </w:rPr>
            </w:pPr>
            <w:r>
              <w:rPr>
                <w:rFonts w:ascii="Cambria" w:eastAsia="Times New Roman" w:hAnsi="Cambria" w:cs="Times New Roman"/>
                <w:color w:val="595959" w:themeColor="text1" w:themeTint="A6"/>
                <w:sz w:val="16"/>
                <w:szCs w:val="16"/>
              </w:rPr>
              <w:t>NIP: 9291004928</w:t>
            </w:r>
          </w:p>
          <w:p w14:paraId="180ED0DF" w14:textId="77777777" w:rsidR="00F51C1D" w:rsidRDefault="00000000">
            <w:pPr>
              <w:spacing w:after="0" w:line="240" w:lineRule="auto"/>
              <w:rPr>
                <w:rFonts w:ascii="Cambria" w:hAnsi="Cambria"/>
                <w:color w:val="595959" w:themeColor="text1" w:themeTint="A6"/>
                <w:sz w:val="18"/>
                <w:szCs w:val="18"/>
                <w:lang w:val="de-DE"/>
              </w:rPr>
            </w:pPr>
            <w:r>
              <w:rPr>
                <w:rFonts w:ascii="Cambria" w:eastAsia="Times New Roman" w:hAnsi="Cambria" w:cs="Times New Roman"/>
                <w:color w:val="595959" w:themeColor="text1" w:themeTint="A6"/>
                <w:sz w:val="16"/>
                <w:szCs w:val="16"/>
                <w:lang w:val="de-DE"/>
              </w:rPr>
              <w:br/>
            </w:r>
            <w:proofErr w:type="spellStart"/>
            <w:r>
              <w:rPr>
                <w:rFonts w:ascii="Cambria" w:eastAsia="Times New Roman" w:hAnsi="Cambria" w:cs="Times New Roman"/>
                <w:color w:val="595959" w:themeColor="text1" w:themeTint="A6"/>
                <w:sz w:val="16"/>
                <w:szCs w:val="16"/>
                <w:lang w:val="de-DE"/>
              </w:rPr>
              <w:t>e-mail</w:t>
            </w:r>
            <w:proofErr w:type="spellEnd"/>
            <w:r>
              <w:rPr>
                <w:rFonts w:ascii="Cambria" w:eastAsia="Times New Roman" w:hAnsi="Cambria" w:cs="Times New Roman"/>
                <w:color w:val="595959" w:themeColor="text1" w:themeTint="A6"/>
                <w:sz w:val="16"/>
                <w:szCs w:val="16"/>
                <w:lang w:val="de-DE"/>
              </w:rPr>
              <w:t>: now.bobrz.um@post.pl</w:t>
            </w:r>
            <w:r>
              <w:rPr>
                <w:rFonts w:ascii="Cambria" w:eastAsia="Times New Roman" w:hAnsi="Cambria" w:cs="Times New Roman"/>
                <w:color w:val="595959" w:themeColor="text1" w:themeTint="A6"/>
                <w:sz w:val="16"/>
                <w:szCs w:val="16"/>
                <w:lang w:val="de-DE"/>
              </w:rPr>
              <w:br/>
            </w:r>
            <w:proofErr w:type="spellStart"/>
            <w:r>
              <w:rPr>
                <w:rFonts w:ascii="Cambria" w:eastAsia="Times New Roman" w:hAnsi="Cambria" w:cs="Times New Roman"/>
                <w:color w:val="595959" w:themeColor="text1" w:themeTint="A6"/>
                <w:sz w:val="16"/>
                <w:szCs w:val="16"/>
                <w:lang w:val="de-DE"/>
              </w:rPr>
              <w:t>web</w:t>
            </w:r>
            <w:proofErr w:type="spellEnd"/>
            <w:r>
              <w:rPr>
                <w:rFonts w:ascii="Cambria" w:eastAsia="Times New Roman" w:hAnsi="Cambria" w:cs="Times New Roman"/>
                <w:color w:val="595959" w:themeColor="text1" w:themeTint="A6"/>
                <w:sz w:val="16"/>
                <w:szCs w:val="16"/>
                <w:lang w:val="de-DE"/>
              </w:rPr>
              <w:t>: www.nowogrodbobrz.pl</w:t>
            </w:r>
          </w:p>
        </w:tc>
        <w:tc>
          <w:tcPr>
            <w:tcW w:w="2694" w:type="dxa"/>
            <w:tcBorders>
              <w:top w:val="nil"/>
              <w:left w:val="nil"/>
              <w:bottom w:val="double" w:sz="4" w:space="0" w:color="595959"/>
              <w:right w:val="nil"/>
            </w:tcBorders>
          </w:tcPr>
          <w:p w14:paraId="0B6FA68C" w14:textId="77777777" w:rsidR="00F51C1D" w:rsidRDefault="00000000">
            <w:pPr>
              <w:tabs>
                <w:tab w:val="center" w:pos="4536"/>
                <w:tab w:val="right" w:pos="9072"/>
              </w:tabs>
              <w:spacing w:after="0" w:line="240" w:lineRule="auto"/>
              <w:rPr>
                <w:rFonts w:asciiTheme="majorHAnsi" w:hAnsiTheme="majorHAnsi"/>
                <w:color w:val="595959" w:themeColor="text1" w:themeTint="A6"/>
                <w:sz w:val="18"/>
                <w:szCs w:val="18"/>
              </w:rPr>
            </w:pPr>
            <w:r>
              <w:rPr>
                <w:rFonts w:asciiTheme="majorHAnsi" w:eastAsia="Times New Roman" w:hAnsiTheme="majorHAnsi" w:cs="Times New Roman"/>
                <w:color w:val="595959" w:themeColor="text1" w:themeTint="A6"/>
                <w:sz w:val="18"/>
                <w:szCs w:val="18"/>
              </w:rPr>
              <w:t>Dni i godziny urzędowania:</w:t>
            </w:r>
          </w:p>
          <w:p w14:paraId="555510CA" w14:textId="77777777" w:rsidR="00F51C1D" w:rsidRDefault="00000000">
            <w:pPr>
              <w:tabs>
                <w:tab w:val="center" w:pos="4536"/>
                <w:tab w:val="right" w:pos="9072"/>
              </w:tabs>
              <w:spacing w:after="0" w:line="240" w:lineRule="auto"/>
              <w:rPr>
                <w:rFonts w:asciiTheme="majorHAnsi" w:hAnsiTheme="majorHAnsi"/>
                <w:color w:val="595959" w:themeColor="text1" w:themeTint="A6"/>
                <w:sz w:val="18"/>
                <w:szCs w:val="18"/>
              </w:rPr>
            </w:pPr>
            <w:r>
              <w:rPr>
                <w:rFonts w:asciiTheme="majorHAnsi" w:eastAsia="Times New Roman" w:hAnsiTheme="majorHAnsi" w:cs="Times New Roman"/>
                <w:color w:val="595959" w:themeColor="text1" w:themeTint="A6"/>
                <w:sz w:val="18"/>
                <w:szCs w:val="18"/>
              </w:rPr>
              <w:t>Poniedziałek  8.00-16.00</w:t>
            </w:r>
          </w:p>
          <w:p w14:paraId="3B71FD9C" w14:textId="77777777" w:rsidR="00F51C1D" w:rsidRDefault="00000000">
            <w:pPr>
              <w:tabs>
                <w:tab w:val="center" w:pos="4536"/>
                <w:tab w:val="right" w:pos="9072"/>
              </w:tabs>
              <w:spacing w:after="0" w:line="240" w:lineRule="auto"/>
              <w:rPr>
                <w:rFonts w:ascii="MS Sans Serif" w:hAnsi="MS Sans Serif"/>
                <w:color w:val="595959" w:themeColor="text1" w:themeTint="A6"/>
                <w:sz w:val="8"/>
                <w:szCs w:val="8"/>
              </w:rPr>
            </w:pPr>
            <w:r>
              <w:rPr>
                <w:rFonts w:asciiTheme="majorHAnsi" w:eastAsia="Times New Roman" w:hAnsiTheme="majorHAnsi" w:cs="Times New Roman"/>
                <w:color w:val="595959" w:themeColor="text1" w:themeTint="A6"/>
                <w:sz w:val="18"/>
                <w:szCs w:val="18"/>
              </w:rPr>
              <w:t>wtorek - piątek.7.00 – 15.00</w:t>
            </w:r>
          </w:p>
        </w:tc>
        <w:tc>
          <w:tcPr>
            <w:tcW w:w="2836" w:type="dxa"/>
            <w:gridSpan w:val="2"/>
            <w:tcBorders>
              <w:top w:val="nil"/>
              <w:left w:val="nil"/>
              <w:bottom w:val="double" w:sz="4" w:space="0" w:color="595959"/>
              <w:right w:val="nil"/>
            </w:tcBorders>
          </w:tcPr>
          <w:p w14:paraId="1F1B168D" w14:textId="77777777" w:rsidR="00F51C1D" w:rsidRDefault="00000000">
            <w:pPr>
              <w:tabs>
                <w:tab w:val="center" w:pos="4536"/>
                <w:tab w:val="right" w:pos="9072"/>
              </w:tabs>
              <w:spacing w:after="0" w:line="240" w:lineRule="auto"/>
              <w:rPr>
                <w:rFonts w:asciiTheme="majorHAnsi" w:hAnsiTheme="majorHAnsi"/>
                <w:b/>
                <w:color w:val="595959" w:themeColor="text1" w:themeTint="A6"/>
                <w:sz w:val="18"/>
                <w:szCs w:val="18"/>
              </w:rPr>
            </w:pPr>
            <w:r>
              <w:rPr>
                <w:rFonts w:asciiTheme="majorHAnsi" w:eastAsia="Times New Roman" w:hAnsiTheme="majorHAnsi" w:cs="Times New Roman"/>
                <w:b/>
                <w:color w:val="595959" w:themeColor="text1" w:themeTint="A6"/>
                <w:sz w:val="18"/>
                <w:szCs w:val="18"/>
              </w:rPr>
              <w:t>Nr telefonów i faksów:</w:t>
            </w:r>
          </w:p>
          <w:p w14:paraId="6D3CE0A2" w14:textId="77777777" w:rsidR="00F51C1D" w:rsidRDefault="00000000">
            <w:pPr>
              <w:tabs>
                <w:tab w:val="center" w:pos="4536"/>
                <w:tab w:val="right" w:pos="9072"/>
              </w:tabs>
              <w:spacing w:after="0" w:line="240" w:lineRule="auto"/>
              <w:rPr>
                <w:rFonts w:asciiTheme="majorHAnsi" w:hAnsiTheme="majorHAnsi"/>
                <w:color w:val="595959" w:themeColor="text1" w:themeTint="A6"/>
                <w:sz w:val="18"/>
                <w:szCs w:val="18"/>
              </w:rPr>
            </w:pPr>
            <w:r>
              <w:rPr>
                <w:rFonts w:asciiTheme="majorHAnsi" w:eastAsia="Times New Roman" w:hAnsiTheme="majorHAnsi" w:cs="Times New Roman"/>
                <w:color w:val="595959" w:themeColor="text1" w:themeTint="A6"/>
                <w:sz w:val="18"/>
                <w:szCs w:val="18"/>
              </w:rPr>
              <w:t>Centrala   68 329-09-62</w:t>
            </w:r>
          </w:p>
          <w:p w14:paraId="538296A5" w14:textId="77777777" w:rsidR="00F51C1D" w:rsidRDefault="00000000">
            <w:pPr>
              <w:tabs>
                <w:tab w:val="center" w:pos="4536"/>
                <w:tab w:val="right" w:pos="9072"/>
              </w:tabs>
              <w:spacing w:after="0" w:line="240" w:lineRule="auto"/>
              <w:rPr>
                <w:rFonts w:ascii="Arial Narrow" w:hAnsi="Arial Narrow"/>
                <w:color w:val="595959" w:themeColor="text1" w:themeTint="A6"/>
                <w:sz w:val="18"/>
                <w:szCs w:val="18"/>
              </w:rPr>
            </w:pPr>
            <w:r>
              <w:rPr>
                <w:rFonts w:asciiTheme="majorHAnsi" w:eastAsia="Times New Roman" w:hAnsiTheme="majorHAnsi" w:cs="Times New Roman"/>
                <w:color w:val="595959" w:themeColor="text1" w:themeTint="A6"/>
                <w:sz w:val="18"/>
                <w:szCs w:val="18"/>
              </w:rPr>
              <w:t>Fax             68 329-09-62</w:t>
            </w:r>
          </w:p>
        </w:tc>
      </w:tr>
    </w:tbl>
    <w:p w14:paraId="6FF476CF" w14:textId="03F49D29" w:rsidR="00F51C1D" w:rsidRDefault="00000000">
      <w:pPr>
        <w:ind w:left="4956"/>
        <w:jc w:val="both"/>
        <w:rPr>
          <w:rFonts w:ascii="Times New Roman" w:hAnsi="Times New Roman" w:cs="Times New Roman"/>
        </w:rPr>
      </w:pPr>
      <w:r>
        <w:rPr>
          <w:rFonts w:ascii="Times New Roman" w:hAnsi="Times New Roman" w:cs="Times New Roman"/>
        </w:rPr>
        <w:t>Nowogród Bobrzański, 2</w:t>
      </w:r>
      <w:r w:rsidR="004D7BC5">
        <w:rPr>
          <w:rFonts w:ascii="Times New Roman" w:hAnsi="Times New Roman" w:cs="Times New Roman"/>
        </w:rPr>
        <w:t>8</w:t>
      </w:r>
      <w:r>
        <w:rPr>
          <w:rFonts w:ascii="Times New Roman" w:hAnsi="Times New Roman" w:cs="Times New Roman"/>
        </w:rPr>
        <w:t xml:space="preserve"> marca 2023r.</w:t>
      </w:r>
    </w:p>
    <w:p w14:paraId="107ED279" w14:textId="77777777" w:rsidR="00F51C1D" w:rsidRDefault="00000000">
      <w:pPr>
        <w:jc w:val="both"/>
        <w:rPr>
          <w:rFonts w:ascii="Times New Roman" w:hAnsi="Times New Roman" w:cs="Times New Roman"/>
        </w:rPr>
      </w:pPr>
      <w:r>
        <w:rPr>
          <w:rFonts w:ascii="Times New Roman" w:hAnsi="Times New Roman" w:cs="Times New Roman"/>
        </w:rPr>
        <w:t>GKIII.6220.8.2022.AŁ</w:t>
      </w:r>
    </w:p>
    <w:p w14:paraId="6C5D1564" w14:textId="77777777" w:rsidR="00F51C1D" w:rsidRDefault="00000000">
      <w:pPr>
        <w:spacing w:after="0" w:line="240" w:lineRule="auto"/>
        <w:jc w:val="center"/>
        <w:rPr>
          <w:rFonts w:ascii="Times New Roman" w:eastAsia="Noto Sans CJK SC Regular" w:hAnsi="Times New Roman" w:cs="Lohit Devanagari"/>
          <w:b/>
          <w:bCs/>
          <w:kern w:val="2"/>
          <w:sz w:val="24"/>
          <w:szCs w:val="24"/>
          <w:lang w:eastAsia="zh-CN" w:bidi="hi-IN"/>
        </w:rPr>
      </w:pPr>
      <w:r>
        <w:rPr>
          <w:rFonts w:ascii="Times New Roman" w:eastAsia="Noto Sans CJK SC Regular" w:hAnsi="Times New Roman" w:cs="Lohit Devanagari"/>
          <w:b/>
          <w:bCs/>
          <w:kern w:val="2"/>
          <w:sz w:val="24"/>
          <w:szCs w:val="24"/>
          <w:lang w:eastAsia="zh-CN" w:bidi="hi-IN"/>
        </w:rPr>
        <w:t>POSTANOWIENIE</w:t>
      </w:r>
    </w:p>
    <w:p w14:paraId="4A0A8853" w14:textId="77777777" w:rsidR="00F51C1D" w:rsidRDefault="00000000">
      <w:pPr>
        <w:spacing w:after="0" w:line="240" w:lineRule="auto"/>
        <w:jc w:val="center"/>
        <w:rPr>
          <w:rFonts w:ascii="Times New Roman" w:eastAsia="Noto Sans CJK SC Regular" w:hAnsi="Times New Roman" w:cs="Lohit Devanagari"/>
          <w:b/>
          <w:bCs/>
          <w:kern w:val="2"/>
          <w:sz w:val="24"/>
          <w:szCs w:val="24"/>
          <w:lang w:eastAsia="zh-CN" w:bidi="hi-IN"/>
        </w:rPr>
      </w:pPr>
      <w:r>
        <w:rPr>
          <w:rFonts w:ascii="Times New Roman" w:eastAsia="Noto Sans CJK SC Regular" w:hAnsi="Times New Roman" w:cs="Lohit Devanagari"/>
          <w:b/>
          <w:bCs/>
          <w:kern w:val="2"/>
          <w:sz w:val="24"/>
          <w:szCs w:val="24"/>
          <w:lang w:eastAsia="zh-CN" w:bidi="hi-IN"/>
        </w:rPr>
        <w:t>o przeprowadzeniu oceny oddziaływania na środowisko</w:t>
      </w:r>
    </w:p>
    <w:p w14:paraId="111CC0AE" w14:textId="77777777" w:rsidR="00F51C1D" w:rsidRDefault="00F51C1D">
      <w:pPr>
        <w:jc w:val="both"/>
        <w:rPr>
          <w:rFonts w:ascii="Times New Roman" w:hAnsi="Times New Roman" w:cs="Times New Roman"/>
        </w:rPr>
      </w:pPr>
    </w:p>
    <w:p w14:paraId="1718959A" w14:textId="77777777" w:rsidR="00F51C1D" w:rsidRDefault="00000000">
      <w:pPr>
        <w:spacing w:after="0"/>
        <w:jc w:val="both"/>
        <w:rPr>
          <w:rFonts w:ascii="Times New Roman" w:eastAsia="Noto Sans CJK SC Regular" w:hAnsi="Times New Roman" w:cs="Times New Roman"/>
          <w:kern w:val="2"/>
          <w:lang w:eastAsia="zh-CN" w:bidi="hi-IN"/>
        </w:rPr>
      </w:pPr>
      <w:r>
        <w:rPr>
          <w:rFonts w:ascii="Times New Roman" w:hAnsi="Times New Roman"/>
        </w:rPr>
        <w:tab/>
        <w:t xml:space="preserve">Na podstawie art. 123 ustawy z dnia 14 czerwca 1960 r. Kodeks postępowania administracyjnego (Dz. U. z 2022 r. poz. 2000 ze zm.), w związku z art. 63 ust. 1 i 4, art. 68 ustawy z dnia 3 października 2008 r. o udostępnianiu informacji o środowisku i jego ochronie, udziale społeczeństwa w ochronie środowiska oraz o ocenach oddziaływania na środowisko (Dz. U. z 2022 r. poz. 1029 ze zm.), a także § 3 ust. 1 pkt. 5 i pkt 69 lit. a oraz lit. d Rozporządzenia Rady Ministrów </w:t>
      </w:r>
      <w:r>
        <w:rPr>
          <w:rFonts w:ascii="Times New Roman" w:hAnsi="Times New Roman" w:cs="Times New Roman"/>
        </w:rPr>
        <w:t xml:space="preserve">z dnia 10 września 2019 roku w sprawie przedsięwzięć mogących znacząco oddziaływać na środowisko (Dz. U. z 2019r. poz. 1839 ze zm.), po rozpatrzeniu wniosku </w:t>
      </w:r>
      <w:proofErr w:type="spellStart"/>
      <w:r>
        <w:rPr>
          <w:rFonts w:ascii="Times New Roman" w:hAnsi="Times New Roman" w:cs="Times New Roman"/>
        </w:rPr>
        <w:t>Inex</w:t>
      </w:r>
      <w:proofErr w:type="spellEnd"/>
      <w:r>
        <w:rPr>
          <w:rFonts w:ascii="Times New Roman" w:hAnsi="Times New Roman" w:cs="Times New Roman"/>
        </w:rPr>
        <w:t xml:space="preserve"> Green Sp. z o.o. ul. Pasterska 2b, 50-226 Wrocław, znak: MEW/03/12/2022/ASP z dnia 14 grudnia 2022 r. (data wpływu: 21.12.2022r.), uzupełnionego pismem znak: MEW/02/02/2023/ASP z dnia</w:t>
      </w:r>
      <w:r>
        <w:rPr>
          <w:rFonts w:ascii="Times New Roman" w:hAnsi="Times New Roman" w:cs="Times New Roman"/>
          <w:color w:val="C9211E"/>
        </w:rPr>
        <w:t xml:space="preserve"> </w:t>
      </w:r>
      <w:r>
        <w:rPr>
          <w:rFonts w:ascii="Times New Roman" w:hAnsi="Times New Roman" w:cs="Times New Roman"/>
        </w:rPr>
        <w:t xml:space="preserve">15 marca 2023r. ( data wpływu: 16.03.2023 r.), </w:t>
      </w:r>
      <w:r>
        <w:rPr>
          <w:rFonts w:ascii="Times New Roman" w:hAnsi="Times New Roman" w:cs="Times New Roman"/>
          <w:color w:val="C9211E"/>
        </w:rPr>
        <w:t xml:space="preserve"> </w:t>
      </w:r>
      <w:r>
        <w:rPr>
          <w:rFonts w:ascii="Times New Roman" w:hAnsi="Times New Roman"/>
        </w:rPr>
        <w:t>o wydanie decyzji o środowiskowych uwarunkowaniach dla przedsięwzięcia pn.:</w:t>
      </w:r>
      <w:r>
        <w:rPr>
          <w:rFonts w:ascii="Times New Roman" w:hAnsi="Times New Roman"/>
          <w:color w:val="C9211E"/>
        </w:rPr>
        <w:t xml:space="preserve"> </w:t>
      </w:r>
      <w:r>
        <w:rPr>
          <w:rFonts w:ascii="Times New Roman" w:hAnsi="Times New Roman" w:cs="Times New Roman"/>
        </w:rPr>
        <w:t xml:space="preserve">„Budowa Małej Elektrowni Wodnej Nowogród Bobrzański przy istniejącym jazie piętrzącym w km 47+565 rzeki Bóbr” planowanego do realizacji na terenie działek nr </w:t>
      </w:r>
      <w:proofErr w:type="spellStart"/>
      <w:r>
        <w:rPr>
          <w:rFonts w:ascii="Times New Roman" w:hAnsi="Times New Roman" w:cs="Times New Roman"/>
        </w:rPr>
        <w:t>ewid</w:t>
      </w:r>
      <w:proofErr w:type="spellEnd"/>
      <w:r>
        <w:rPr>
          <w:rFonts w:ascii="Times New Roman" w:hAnsi="Times New Roman" w:cs="Times New Roman"/>
        </w:rPr>
        <w:t xml:space="preserve">. 1843/1, 20/8 obręb 0002 Nowogród Bobrzański oraz działek nr </w:t>
      </w:r>
      <w:proofErr w:type="spellStart"/>
      <w:r>
        <w:rPr>
          <w:rFonts w:ascii="Times New Roman" w:hAnsi="Times New Roman" w:cs="Times New Roman"/>
        </w:rPr>
        <w:t>ewid</w:t>
      </w:r>
      <w:proofErr w:type="spellEnd"/>
      <w:r>
        <w:rPr>
          <w:rFonts w:ascii="Times New Roman" w:hAnsi="Times New Roman" w:cs="Times New Roman"/>
        </w:rPr>
        <w:t>. 517/3 i 502/6 obręb 0001 Nowogród Bobrzański,</w:t>
      </w:r>
      <w:r>
        <w:rPr>
          <w:rFonts w:ascii="Times New Roman" w:eastAsia="Noto Sans CJK SC Regular" w:hAnsi="Times New Roman" w:cs="Times New Roman"/>
          <w:kern w:val="2"/>
          <w:lang w:eastAsia="zh-CN" w:bidi="hi-IN"/>
        </w:rPr>
        <w:t xml:space="preserve"> a także uwzględniając opinie Państwowego Powiatowego Inspektora Sanitarnego w Zielonej Górze znak: NZ.9022.1.19.2023 z dnia 23 lutego 2023 r. (data wpływu do tut. Urzędu 23.02.2023r.),</w:t>
      </w:r>
      <w:r>
        <w:rPr>
          <w:rFonts w:ascii="Times New Roman" w:eastAsia="Noto Sans CJK SC Regular" w:hAnsi="Times New Roman" w:cs="Times New Roman"/>
          <w:color w:val="C9211E"/>
          <w:kern w:val="2"/>
          <w:lang w:eastAsia="zh-CN" w:bidi="hi-IN"/>
        </w:rPr>
        <w:t xml:space="preserve"> </w:t>
      </w:r>
      <w:r>
        <w:rPr>
          <w:rFonts w:ascii="Times New Roman" w:eastAsia="Noto Sans CJK SC Regular" w:hAnsi="Times New Roman" w:cs="Times New Roman"/>
          <w:kern w:val="2"/>
          <w:lang w:eastAsia="zh-CN" w:bidi="hi-IN"/>
        </w:rPr>
        <w:t>Regionalnego Dyrektora Ochrony Środowiska w Gorzowie Wielkopolskim</w:t>
      </w:r>
      <w:r>
        <w:rPr>
          <w:rFonts w:ascii="Times New Roman" w:eastAsia="Noto Sans CJK SC Regular" w:hAnsi="Times New Roman" w:cs="Times New Roman"/>
          <w:color w:val="C9211E"/>
          <w:kern w:val="2"/>
          <w:lang w:eastAsia="zh-CN" w:bidi="hi-IN"/>
        </w:rPr>
        <w:t xml:space="preserve"> </w:t>
      </w:r>
      <w:r>
        <w:rPr>
          <w:rFonts w:ascii="Times New Roman" w:eastAsia="Noto Sans CJK SC Regular" w:hAnsi="Times New Roman" w:cs="Times New Roman"/>
          <w:kern w:val="2"/>
          <w:lang w:eastAsia="zh-CN" w:bidi="hi-IN"/>
        </w:rPr>
        <w:t>znak: WZŚ.4220.116.2023.PT z dnia 3 marca 2023 r.(data wpływu do tut. Urzędu 3.03.2023 r.)</w:t>
      </w:r>
      <w:r>
        <w:rPr>
          <w:rFonts w:ascii="Times New Roman" w:hAnsi="Times New Roman" w:cs="Times New Roman"/>
          <w:b/>
        </w:rPr>
        <w:t xml:space="preserve"> </w:t>
      </w:r>
      <w:r>
        <w:rPr>
          <w:rFonts w:ascii="Times New Roman" w:hAnsi="Times New Roman" w:cs="Times New Roman"/>
        </w:rPr>
        <w:t xml:space="preserve">oraz uzgodnienie </w:t>
      </w:r>
      <w:r>
        <w:rPr>
          <w:rFonts w:ascii="Times New Roman" w:eastAsia="Noto Sans CJK SC Regular" w:hAnsi="Times New Roman" w:cs="Times New Roman"/>
          <w:kern w:val="2"/>
          <w:lang w:eastAsia="zh-CN" w:bidi="hi-IN"/>
        </w:rPr>
        <w:t xml:space="preserve"> Dyrektora Państwowego Gospodarstwa Wodnego Wody Polskie Zarządu Zlewni w Lwówku Śląskim znak: WR.ZZŚ.3.4901.26.2023.ES z dnia 13 marca 2023 r. ( data wpływu do tut. Urzędu 16.03.2023r.)</w:t>
      </w:r>
    </w:p>
    <w:p w14:paraId="252FE5E0" w14:textId="77777777" w:rsidR="00F51C1D" w:rsidRDefault="00F51C1D">
      <w:pPr>
        <w:spacing w:after="0"/>
        <w:jc w:val="both"/>
        <w:rPr>
          <w:rFonts w:ascii="Times New Roman" w:hAnsi="Times New Roman" w:cs="Times New Roman"/>
          <w:b/>
        </w:rPr>
      </w:pPr>
    </w:p>
    <w:p w14:paraId="39928D4E" w14:textId="77777777" w:rsidR="00F51C1D" w:rsidRDefault="00000000">
      <w:pPr>
        <w:jc w:val="center"/>
        <w:rPr>
          <w:rFonts w:ascii="Times New Roman" w:eastAsia="Noto Sans CJK SC Regular" w:hAnsi="Times New Roman" w:cs="Times New Roman"/>
          <w:b/>
          <w:kern w:val="2"/>
          <w:lang w:eastAsia="zh-CN" w:bidi="hi-IN"/>
        </w:rPr>
      </w:pPr>
      <w:r>
        <w:rPr>
          <w:rFonts w:ascii="Times New Roman" w:eastAsia="Noto Sans CJK SC Regular" w:hAnsi="Times New Roman" w:cs="Times New Roman"/>
          <w:b/>
          <w:kern w:val="2"/>
          <w:lang w:eastAsia="zh-CN" w:bidi="hi-IN"/>
        </w:rPr>
        <w:t>postanawiam</w:t>
      </w:r>
    </w:p>
    <w:p w14:paraId="4643B563" w14:textId="77777777" w:rsidR="00F51C1D" w:rsidRDefault="00000000">
      <w:pPr>
        <w:spacing w:after="0" w:line="240" w:lineRule="auto"/>
        <w:jc w:val="both"/>
        <w:rPr>
          <w:rFonts w:ascii="Times New Roman" w:eastAsia="Noto Sans CJK SC Regular" w:hAnsi="Times New Roman" w:cs="Times New Roman"/>
          <w:b/>
          <w:bCs/>
          <w:kern w:val="2"/>
          <w:lang w:eastAsia="zh-CN" w:bidi="hi-IN"/>
        </w:rPr>
      </w:pPr>
      <w:r>
        <w:rPr>
          <w:rFonts w:ascii="Times New Roman" w:eastAsia="Noto Sans CJK SC Regular" w:hAnsi="Times New Roman" w:cs="Times New Roman"/>
          <w:b/>
          <w:bCs/>
          <w:kern w:val="2"/>
          <w:lang w:eastAsia="zh-CN" w:bidi="hi-IN"/>
        </w:rPr>
        <w:t xml:space="preserve">I. Nałożyć obowiązek przeprowadzenia oceny oddziaływania na środowisko dla przedsięwzięcia pn. „Budowa Małej Elektrowni Wodnej Nowogród Bobrzański przy istniejącym jazie piętrzącym w km 47+565 rzeki Bóbr” planowanego do realizacji na terenie działek nr </w:t>
      </w:r>
      <w:proofErr w:type="spellStart"/>
      <w:r>
        <w:rPr>
          <w:rFonts w:ascii="Times New Roman" w:eastAsia="Noto Sans CJK SC Regular" w:hAnsi="Times New Roman" w:cs="Times New Roman"/>
          <w:b/>
          <w:bCs/>
          <w:kern w:val="2"/>
          <w:lang w:eastAsia="zh-CN" w:bidi="hi-IN"/>
        </w:rPr>
        <w:t>ewid</w:t>
      </w:r>
      <w:proofErr w:type="spellEnd"/>
      <w:r>
        <w:rPr>
          <w:rFonts w:ascii="Times New Roman" w:eastAsia="Noto Sans CJK SC Regular" w:hAnsi="Times New Roman" w:cs="Times New Roman"/>
          <w:b/>
          <w:bCs/>
          <w:kern w:val="2"/>
          <w:lang w:eastAsia="zh-CN" w:bidi="hi-IN"/>
        </w:rPr>
        <w:t xml:space="preserve">. 1843/1, 20/8 obręb 0002 Nowogród Bobrzański oraz działek nr </w:t>
      </w:r>
      <w:proofErr w:type="spellStart"/>
      <w:r>
        <w:rPr>
          <w:rFonts w:ascii="Times New Roman" w:eastAsia="Noto Sans CJK SC Regular" w:hAnsi="Times New Roman" w:cs="Times New Roman"/>
          <w:b/>
          <w:bCs/>
          <w:kern w:val="2"/>
          <w:lang w:eastAsia="zh-CN" w:bidi="hi-IN"/>
        </w:rPr>
        <w:t>ewid</w:t>
      </w:r>
      <w:proofErr w:type="spellEnd"/>
      <w:r>
        <w:rPr>
          <w:rFonts w:ascii="Times New Roman" w:eastAsia="Noto Sans CJK SC Regular" w:hAnsi="Times New Roman" w:cs="Times New Roman"/>
          <w:b/>
          <w:bCs/>
          <w:kern w:val="2"/>
          <w:lang w:eastAsia="zh-CN" w:bidi="hi-IN"/>
        </w:rPr>
        <w:t>. 517/3 i 502/6 obręb 0001 Nowogród Bobrzański</w:t>
      </w:r>
    </w:p>
    <w:p w14:paraId="2E927ED1" w14:textId="77777777" w:rsidR="00F51C1D" w:rsidRDefault="00000000">
      <w:pPr>
        <w:spacing w:after="0" w:line="240" w:lineRule="auto"/>
        <w:jc w:val="both"/>
        <w:rPr>
          <w:rFonts w:ascii="Times New Roman" w:eastAsia="Noto Sans CJK SC Regular" w:hAnsi="Times New Roman" w:cs="Lohit Devanagari"/>
          <w:b/>
          <w:bCs/>
          <w:kern w:val="2"/>
          <w:lang w:eastAsia="zh-CN" w:bidi="hi-IN"/>
        </w:rPr>
      </w:pPr>
      <w:r>
        <w:rPr>
          <w:rFonts w:ascii="Times New Roman" w:eastAsia="Noto Sans CJK SC Regular" w:hAnsi="Times New Roman" w:cs="Times New Roman"/>
          <w:b/>
          <w:bCs/>
          <w:kern w:val="2"/>
          <w:lang w:eastAsia="zh-CN" w:bidi="hi-IN"/>
        </w:rPr>
        <w:t>II. Nałożyć obowiązek sporządzenia raportu o oddziaływaniu na środowisko dla ww. przedsięwzięcia w zakresie przewidzianym w art. 66 ustawy z dnia 3 października 2008 r. o udostępnianiu informacji o środowisku i jego ochronie, udziale społeczeństwa w ochronie środowiska oraz o ocenach oddziaływania na środowisko ( Dz. U. z 2022 r. poz. 1029 ze zm.);</w:t>
      </w:r>
    </w:p>
    <w:p w14:paraId="4517E853" w14:textId="77777777" w:rsidR="00F51C1D" w:rsidRDefault="00000000">
      <w:pPr>
        <w:spacing w:after="0" w:line="240" w:lineRule="auto"/>
        <w:jc w:val="both"/>
        <w:rPr>
          <w:rFonts w:ascii="Times New Roman" w:eastAsia="Noto Sans CJK SC Regular" w:hAnsi="Times New Roman" w:cs="Times New Roman"/>
          <w:b/>
          <w:bCs/>
          <w:kern w:val="2"/>
          <w:lang w:eastAsia="zh-CN" w:bidi="hi-IN"/>
        </w:rPr>
      </w:pPr>
      <w:r>
        <w:rPr>
          <w:rFonts w:ascii="Times New Roman" w:eastAsia="Noto Sans CJK SC Regular" w:hAnsi="Times New Roman" w:cs="Times New Roman"/>
          <w:b/>
          <w:bCs/>
          <w:kern w:val="2"/>
          <w:lang w:eastAsia="zh-CN" w:bidi="hi-IN"/>
        </w:rPr>
        <w:t>III. W raporcie o oddziaływaniu przedsięwzięcia na środowisko szczegółowej analizy będą wymagać poniższe zagadnienia:</w:t>
      </w:r>
    </w:p>
    <w:p w14:paraId="41388E2C" w14:textId="77777777" w:rsidR="00F51C1D" w:rsidRDefault="00000000">
      <w:pPr>
        <w:pStyle w:val="Akapitzlist"/>
        <w:numPr>
          <w:ilvl w:val="0"/>
          <w:numId w:val="3"/>
        </w:numPr>
        <w:spacing w:after="0" w:line="240" w:lineRule="auto"/>
        <w:jc w:val="both"/>
        <w:rPr>
          <w:rFonts w:ascii="Times New Roman" w:hAnsi="Times New Roman" w:cs="Times New Roman"/>
        </w:rPr>
      </w:pPr>
      <w:r>
        <w:rPr>
          <w:rFonts w:ascii="Times New Roman" w:hAnsi="Times New Roman" w:cs="Times New Roman"/>
        </w:rPr>
        <w:t>Przedstawić argumenty świadczące, iż realizacja wybranego wariantu ww. przedsięwzięcia nie naruszy zakazów obowiązujących w granicach obszaru chronionego krajobrazu „Dolina Bobru”, wymienionych w § 3 ust. 1 uchwały Nr XXIV/321/16 Sejmiku Województwa Lubuskiego z dnia 10 października 2016 r. w sprawie wyznaczenia obszaru chronionego krajobrazu „Dolina Bobru” (Dz. Urz. Woj. Lubuskiego z 17 października 2016 r., poz. 2051).</w:t>
      </w:r>
    </w:p>
    <w:p w14:paraId="31B2F58B" w14:textId="77777777" w:rsidR="00F51C1D" w:rsidRDefault="00000000">
      <w:pPr>
        <w:pStyle w:val="Akapitzlist"/>
        <w:numPr>
          <w:ilvl w:val="0"/>
          <w:numId w:val="3"/>
        </w:numPr>
        <w:spacing w:after="0" w:line="240" w:lineRule="auto"/>
        <w:jc w:val="both"/>
        <w:rPr>
          <w:rFonts w:ascii="Times New Roman" w:hAnsi="Times New Roman" w:cs="Times New Roman"/>
        </w:rPr>
      </w:pPr>
      <w:r>
        <w:rPr>
          <w:rFonts w:ascii="Times New Roman" w:hAnsi="Times New Roman" w:cs="Times New Roman"/>
        </w:rPr>
        <w:lastRenderedPageBreak/>
        <w:t>Ustalić/wykluczyć możliwość wystąpienia negatywnego wpływu inwestycji na ochronę przyrody i ochronę krajobrazu obszaru chronionego krajobrazu „Dolina Bobru”.</w:t>
      </w:r>
    </w:p>
    <w:p w14:paraId="39829AE1" w14:textId="77777777" w:rsidR="00F51C1D" w:rsidRDefault="00000000">
      <w:pPr>
        <w:pStyle w:val="Akapitzlist"/>
        <w:numPr>
          <w:ilvl w:val="0"/>
          <w:numId w:val="3"/>
        </w:numPr>
        <w:spacing w:after="0" w:line="240" w:lineRule="auto"/>
        <w:jc w:val="both"/>
        <w:rPr>
          <w:rFonts w:ascii="Times New Roman" w:hAnsi="Times New Roman" w:cs="Times New Roman"/>
        </w:rPr>
      </w:pPr>
      <w:r>
        <w:rPr>
          <w:rFonts w:ascii="Times New Roman" w:hAnsi="Times New Roman" w:cs="Times New Roman"/>
        </w:rPr>
        <w:t>Zagadnienia analizowane dla obszaru stanowiącego strefę potencjalnego oddziaływania przedsięwzięcia także w jego ujęciu kumulatywnym  innymi przedsięwzięciami, zobrazować w przejrzystej formie kartograficznej, np. w skali 1:10 000 lub innej, bardziej czytelnej.</w:t>
      </w:r>
    </w:p>
    <w:p w14:paraId="627C8B38" w14:textId="77777777" w:rsidR="00F51C1D" w:rsidRDefault="00000000">
      <w:pPr>
        <w:pStyle w:val="Akapitzlist"/>
        <w:numPr>
          <w:ilvl w:val="0"/>
          <w:numId w:val="3"/>
        </w:numPr>
        <w:spacing w:after="0" w:line="240" w:lineRule="auto"/>
        <w:jc w:val="both"/>
        <w:rPr>
          <w:rFonts w:ascii="Times New Roman" w:hAnsi="Times New Roman" w:cs="Times New Roman"/>
        </w:rPr>
      </w:pPr>
      <w:r>
        <w:rPr>
          <w:rFonts w:ascii="Times New Roman" w:hAnsi="Times New Roman" w:cs="Times New Roman"/>
        </w:rPr>
        <w:t xml:space="preserve">Wykonać analizę wpływu przedsięwzięcia na stan Jednolitych Części Wód Powierzchniowych (tzw. JCWP) oraz Jednolitych Części Wód Podziemnych (tzw. </w:t>
      </w:r>
      <w:proofErr w:type="spellStart"/>
      <w:r>
        <w:rPr>
          <w:rFonts w:ascii="Times New Roman" w:hAnsi="Times New Roman" w:cs="Times New Roman"/>
        </w:rPr>
        <w:t>JCWPd</w:t>
      </w:r>
      <w:proofErr w:type="spellEnd"/>
      <w:r>
        <w:rPr>
          <w:rFonts w:ascii="Times New Roman" w:hAnsi="Times New Roman" w:cs="Times New Roman"/>
        </w:rPr>
        <w:t xml:space="preserve">) w granicach, których zamierzenie będzie realizowane i na które oddziałuje oraz udowodnić, że planowana inwestycja nie wpłynie negatywnie na pogorszenie JCWP i możliwość osiągnięcie celów środowiskowych, o których mowa w art. 56, art. 57, art. 59 oraz art. 61 ustawy z dnia 20 </w:t>
      </w:r>
      <w:proofErr w:type="spellStart"/>
      <w:r>
        <w:rPr>
          <w:rFonts w:ascii="Times New Roman" w:hAnsi="Times New Roman" w:cs="Times New Roman"/>
        </w:rPr>
        <w:t>lipcas</w:t>
      </w:r>
      <w:proofErr w:type="spellEnd"/>
      <w:r>
        <w:rPr>
          <w:rFonts w:ascii="Times New Roman" w:hAnsi="Times New Roman" w:cs="Times New Roman"/>
        </w:rPr>
        <w:t xml:space="preserve"> 2017 r. Prawo wodne (Dz. U. z 2022 r. poz. 2625 ze zm.), a także obszary chronione. Ponadto należy wskazać czy są możliwe do spełnienia warunki, o których mowa w art. 68 pkt 1, 3 i 4 ww. ustawy.</w:t>
      </w:r>
    </w:p>
    <w:p w14:paraId="5EF5C93F" w14:textId="77777777" w:rsidR="00F51C1D" w:rsidRDefault="00000000">
      <w:pPr>
        <w:pStyle w:val="Akapitzlist"/>
        <w:numPr>
          <w:ilvl w:val="0"/>
          <w:numId w:val="3"/>
        </w:numPr>
        <w:spacing w:after="0" w:line="240" w:lineRule="auto"/>
        <w:jc w:val="both"/>
        <w:rPr>
          <w:rFonts w:ascii="Times New Roman" w:hAnsi="Times New Roman" w:cs="Times New Roman"/>
        </w:rPr>
      </w:pPr>
      <w:r>
        <w:rPr>
          <w:rFonts w:ascii="Times New Roman" w:hAnsi="Times New Roman" w:cs="Times New Roman"/>
        </w:rPr>
        <w:t>Przedstawić analizę wpływu przedsięwzięcia na GZWP- Główne Zbiorniki Wód Podziemnych.</w:t>
      </w:r>
    </w:p>
    <w:p w14:paraId="163650ED" w14:textId="77777777" w:rsidR="00F51C1D" w:rsidRDefault="00000000">
      <w:pPr>
        <w:pStyle w:val="Akapitzlist"/>
        <w:numPr>
          <w:ilvl w:val="0"/>
          <w:numId w:val="3"/>
        </w:numPr>
        <w:spacing w:after="0" w:line="240" w:lineRule="auto"/>
        <w:jc w:val="both"/>
        <w:rPr>
          <w:rFonts w:ascii="Times New Roman" w:hAnsi="Times New Roman" w:cs="Times New Roman"/>
        </w:rPr>
      </w:pPr>
      <w:r>
        <w:rPr>
          <w:rFonts w:ascii="Times New Roman" w:hAnsi="Times New Roman" w:cs="Times New Roman"/>
        </w:rPr>
        <w:t>Dokonać opisu przedsięwzięcia w odniesieniu do obszarów szczególnego zagrożenia powodzią w rozumieniu ustawy z dnia 20 lipca 2017 r. Prawo wodne (Dz. U. z 2022 r. poz. 2625 ze zm.). Należy wskazać rozwiązania chroniące środowisko, stosowane w wypadku wystąpienia wód powodziowych i wezbraniowych.</w:t>
      </w:r>
    </w:p>
    <w:p w14:paraId="3CCB622C" w14:textId="77777777" w:rsidR="00F51C1D" w:rsidRDefault="00000000">
      <w:pPr>
        <w:pStyle w:val="Akapitzlist"/>
        <w:numPr>
          <w:ilvl w:val="0"/>
          <w:numId w:val="3"/>
        </w:numPr>
        <w:spacing w:after="0" w:line="240" w:lineRule="auto"/>
        <w:jc w:val="both"/>
        <w:rPr>
          <w:rFonts w:ascii="Times New Roman" w:hAnsi="Times New Roman" w:cs="Times New Roman"/>
        </w:rPr>
      </w:pPr>
      <w:r>
        <w:rPr>
          <w:rFonts w:ascii="Times New Roman" w:hAnsi="Times New Roman" w:cs="Times New Roman"/>
        </w:rPr>
        <w:t>Przedstawić na załączniku graficznym (w skali zapewniającej czytelność przedstawionych danych) plan zagospodarowania terenu działki inwestycyjnej uwzględniający planowane do wykonania obiekty wraz z infrastrukturą towarzyszącą.</w:t>
      </w:r>
    </w:p>
    <w:p w14:paraId="61821629" w14:textId="77777777" w:rsidR="00F51C1D" w:rsidRDefault="00000000">
      <w:pPr>
        <w:pStyle w:val="Akapitzlist"/>
        <w:numPr>
          <w:ilvl w:val="0"/>
          <w:numId w:val="3"/>
        </w:numPr>
        <w:spacing w:after="0" w:line="240" w:lineRule="auto"/>
        <w:jc w:val="both"/>
        <w:rPr>
          <w:rFonts w:ascii="Times New Roman" w:hAnsi="Times New Roman" w:cs="Times New Roman"/>
        </w:rPr>
      </w:pPr>
      <w:r>
        <w:rPr>
          <w:rFonts w:ascii="Times New Roman" w:hAnsi="Times New Roman" w:cs="Times New Roman"/>
        </w:rPr>
        <w:t>Przedstawić opis wariantów uwzględniający najkorzystniejsze dla środowiska koncepcje udrożnienia stopnia wodnego dla organizmów wodnych (w tym ichtiofauny).</w:t>
      </w:r>
    </w:p>
    <w:p w14:paraId="56991D7A" w14:textId="77777777" w:rsidR="00F51C1D" w:rsidRDefault="00000000">
      <w:pPr>
        <w:pStyle w:val="Akapitzlist"/>
        <w:numPr>
          <w:ilvl w:val="0"/>
          <w:numId w:val="3"/>
        </w:numPr>
        <w:spacing w:after="0" w:line="240" w:lineRule="auto"/>
        <w:jc w:val="both"/>
        <w:rPr>
          <w:rFonts w:ascii="Times New Roman" w:hAnsi="Times New Roman" w:cs="Times New Roman"/>
        </w:rPr>
      </w:pPr>
      <w:r>
        <w:rPr>
          <w:rFonts w:ascii="Times New Roman" w:hAnsi="Times New Roman" w:cs="Times New Roman"/>
        </w:rPr>
        <w:t>Określić obszarowo zasięg wpływu zamierzenia na warunki hydrologiczne terenów sąsiadujących (uwzględniając zwiększenie poziomu piętrzenia). Opisać wpływ planowanej inwestycji na poziom wód gruntowych (stan obecny i stan po realizacji inwestycji). W przypadku negatywnych oddziaływań na terenach sąsiadujących, należy zaproponować działanie minimalizujące zmiany poziomu wód gruntowych, zarówno powyżej jak i poniżej planowanego piętrzenia.</w:t>
      </w:r>
    </w:p>
    <w:p w14:paraId="4B0CB174" w14:textId="77777777" w:rsidR="00F51C1D" w:rsidRDefault="00000000">
      <w:pPr>
        <w:pStyle w:val="Akapitzlist"/>
        <w:numPr>
          <w:ilvl w:val="0"/>
          <w:numId w:val="3"/>
        </w:numPr>
        <w:spacing w:after="0" w:line="240" w:lineRule="auto"/>
        <w:jc w:val="both"/>
        <w:rPr>
          <w:rFonts w:ascii="Times New Roman" w:hAnsi="Times New Roman" w:cs="Times New Roman"/>
        </w:rPr>
      </w:pPr>
      <w:r>
        <w:rPr>
          <w:rFonts w:ascii="Times New Roman" w:hAnsi="Times New Roman" w:cs="Times New Roman"/>
        </w:rPr>
        <w:t>Przedstawić sposób obliczenia zasięgu cofki oraz opisać jej oddziaływanie na tereny przyległe i inne obiekty znajdujące się w korycie rzeki Bóbr.</w:t>
      </w:r>
    </w:p>
    <w:p w14:paraId="41008AB4" w14:textId="77777777" w:rsidR="00F51C1D" w:rsidRDefault="00000000">
      <w:pPr>
        <w:pStyle w:val="Akapitzlist"/>
        <w:numPr>
          <w:ilvl w:val="0"/>
          <w:numId w:val="3"/>
        </w:numPr>
        <w:spacing w:after="0" w:line="240" w:lineRule="auto"/>
        <w:jc w:val="both"/>
        <w:rPr>
          <w:rFonts w:ascii="Times New Roman" w:hAnsi="Times New Roman" w:cs="Times New Roman"/>
        </w:rPr>
      </w:pPr>
      <w:r>
        <w:rPr>
          <w:rFonts w:ascii="Times New Roman" w:hAnsi="Times New Roman" w:cs="Times New Roman"/>
        </w:rPr>
        <w:t>Opisać wpływ poboru wód (na potrzeby funkcjonowania elektrowni), na utrzymanie zasobów nienaruszalnych rzeki oraz na inne obiekty znajdujące się na rzece4. Dokonując obliczeń przepływów charakterystycznych należy bazować na aktualnych danych hydrologicznych.</w:t>
      </w:r>
    </w:p>
    <w:p w14:paraId="4CD5F3E1" w14:textId="77777777" w:rsidR="00F51C1D" w:rsidRDefault="00000000">
      <w:pPr>
        <w:pStyle w:val="Akapitzlist"/>
        <w:numPr>
          <w:ilvl w:val="0"/>
          <w:numId w:val="3"/>
        </w:numPr>
        <w:spacing w:after="0" w:line="240" w:lineRule="auto"/>
        <w:jc w:val="both"/>
        <w:rPr>
          <w:rFonts w:ascii="Times New Roman" w:hAnsi="Times New Roman" w:cs="Times New Roman"/>
        </w:rPr>
      </w:pPr>
      <w:r>
        <w:rPr>
          <w:rFonts w:ascii="Times New Roman" w:hAnsi="Times New Roman" w:cs="Times New Roman"/>
        </w:rPr>
        <w:t>Podać parametry budowanych obiektów oraz szczegółowy zakres robót związanych z realizacją poszczególnych elementów inwestycji. Przedstawić technologię wykonania robót budowlanych z uwzględnieniem sposobów zabezpieczenia środowiska gruntowo – wodnego przed przedostaniem się do niego zanieczyszczeń.</w:t>
      </w:r>
    </w:p>
    <w:p w14:paraId="46F9EC6F" w14:textId="77777777" w:rsidR="00F51C1D" w:rsidRDefault="00000000">
      <w:pPr>
        <w:pStyle w:val="Akapitzlist"/>
        <w:numPr>
          <w:ilvl w:val="0"/>
          <w:numId w:val="3"/>
        </w:numPr>
        <w:spacing w:after="0" w:line="240" w:lineRule="auto"/>
        <w:jc w:val="both"/>
        <w:rPr>
          <w:rFonts w:ascii="Times New Roman" w:hAnsi="Times New Roman" w:cs="Times New Roman"/>
        </w:rPr>
      </w:pPr>
      <w:r>
        <w:rPr>
          <w:rFonts w:ascii="Times New Roman" w:hAnsi="Times New Roman" w:cs="Times New Roman"/>
        </w:rPr>
        <w:t>Opisać sposób gromadzenia oraz magazynowania odpadów wytwarzanych podczas realizacji, eksploatacji i likwidacji inwestycji, uwzględniając zapobieganie negatywnemu oddziaływaniu na środowisko gruntowo-wodne.</w:t>
      </w:r>
    </w:p>
    <w:p w14:paraId="7CF0352A" w14:textId="77777777" w:rsidR="00F51C1D" w:rsidRDefault="00000000">
      <w:pPr>
        <w:pStyle w:val="Akapitzlist"/>
        <w:numPr>
          <w:ilvl w:val="0"/>
          <w:numId w:val="3"/>
        </w:numPr>
        <w:spacing w:after="0" w:line="240" w:lineRule="auto"/>
        <w:jc w:val="both"/>
        <w:rPr>
          <w:rFonts w:ascii="Times New Roman" w:hAnsi="Times New Roman" w:cs="Times New Roman"/>
        </w:rPr>
      </w:pPr>
      <w:r>
        <w:rPr>
          <w:rFonts w:ascii="Times New Roman" w:hAnsi="Times New Roman" w:cs="Times New Roman"/>
        </w:rPr>
        <w:t>Przedstawić sposoby zabezpieczenia wód podziemnych i powierzchniowych przed zanieczyszczeniami na etapie realizacji, eksploatacji i likwidacji zamierzenia.</w:t>
      </w:r>
    </w:p>
    <w:p w14:paraId="26347A1B" w14:textId="77777777" w:rsidR="00F51C1D" w:rsidRDefault="00000000">
      <w:pPr>
        <w:pStyle w:val="Akapitzlist"/>
        <w:numPr>
          <w:ilvl w:val="0"/>
          <w:numId w:val="3"/>
        </w:numPr>
        <w:spacing w:after="0" w:line="240" w:lineRule="auto"/>
        <w:jc w:val="both"/>
        <w:rPr>
          <w:rFonts w:ascii="Times New Roman" w:hAnsi="Times New Roman" w:cs="Times New Roman"/>
        </w:rPr>
      </w:pPr>
      <w:r>
        <w:rPr>
          <w:rFonts w:ascii="Times New Roman" w:hAnsi="Times New Roman" w:cs="Times New Roman"/>
        </w:rPr>
        <w:t>Określić sposób dostawy, ilość wykorzystywanej wody do celów bytowych i technologicznych oraz sposób zagospodarowania ścieków powstających w trakcie realizacji inwestycji, a także przedstawić bilans wody i ścieków.</w:t>
      </w:r>
    </w:p>
    <w:p w14:paraId="463D1C60" w14:textId="77777777" w:rsidR="00F51C1D" w:rsidRDefault="00000000">
      <w:pPr>
        <w:pStyle w:val="Akapitzlist"/>
        <w:numPr>
          <w:ilvl w:val="0"/>
          <w:numId w:val="3"/>
        </w:numPr>
        <w:spacing w:after="0" w:line="240" w:lineRule="auto"/>
        <w:jc w:val="both"/>
        <w:rPr>
          <w:rFonts w:ascii="Times New Roman" w:hAnsi="Times New Roman" w:cs="Times New Roman"/>
        </w:rPr>
      </w:pPr>
      <w:r>
        <w:rPr>
          <w:rFonts w:ascii="Times New Roman" w:hAnsi="Times New Roman" w:cs="Times New Roman"/>
        </w:rPr>
        <w:t>Określić wpływ inwestycji  na środowisko gruntowo – wodne uwzględniając sposób odprowadzania wód roztopowych i opadowych w trakcie realizacji i eksploatacji inwestycji. Przedstawić dane dotyczące wielkości odwadnianej powierzchni utwardzonej oraz ilości odprowadzanych wód opadowych i roztopowych z terenu inwestycji na ww. etapach.</w:t>
      </w:r>
    </w:p>
    <w:p w14:paraId="31765C0D" w14:textId="77777777" w:rsidR="00F51C1D" w:rsidRDefault="00000000">
      <w:pPr>
        <w:pStyle w:val="Akapitzlist"/>
        <w:numPr>
          <w:ilvl w:val="0"/>
          <w:numId w:val="3"/>
        </w:numPr>
        <w:spacing w:after="0" w:line="240" w:lineRule="auto"/>
        <w:jc w:val="both"/>
        <w:rPr>
          <w:rFonts w:ascii="Times New Roman" w:hAnsi="Times New Roman" w:cs="Times New Roman"/>
        </w:rPr>
      </w:pPr>
      <w:r>
        <w:rPr>
          <w:rFonts w:ascii="Times New Roman" w:hAnsi="Times New Roman" w:cs="Times New Roman"/>
        </w:rPr>
        <w:t>Przedstawić propozycje monitoringu oddziaływania planowanego przedsięwzięcia na etapie jego eksploatacji w szczególności uwzględniając propozycje monitoringu wpływu przedsięwzięcia na środowisko wodne.</w:t>
      </w:r>
    </w:p>
    <w:p w14:paraId="24B63C03" w14:textId="77777777" w:rsidR="00F51C1D" w:rsidRDefault="00F51C1D">
      <w:pPr>
        <w:spacing w:after="0" w:line="240" w:lineRule="auto"/>
        <w:jc w:val="both"/>
        <w:rPr>
          <w:rFonts w:ascii="Times New Roman" w:eastAsia="Noto Sans CJK SC Regular" w:hAnsi="Times New Roman" w:cs="Times New Roman"/>
          <w:b/>
          <w:bCs/>
          <w:kern w:val="2"/>
          <w:lang w:eastAsia="zh-CN" w:bidi="hi-IN"/>
        </w:rPr>
      </w:pPr>
    </w:p>
    <w:p w14:paraId="7E28F808" w14:textId="77777777" w:rsidR="00F51C1D" w:rsidRDefault="00000000">
      <w:pPr>
        <w:spacing w:after="0" w:line="240" w:lineRule="auto"/>
        <w:jc w:val="center"/>
        <w:rPr>
          <w:rFonts w:ascii="Times New Roman" w:eastAsia="Noto Sans CJK SC Regular" w:hAnsi="Times New Roman" w:cs="Times New Roman"/>
          <w:b/>
          <w:bCs/>
          <w:kern w:val="2"/>
          <w:lang w:eastAsia="zh-CN" w:bidi="hi-IN"/>
        </w:rPr>
      </w:pPr>
      <w:r>
        <w:rPr>
          <w:rFonts w:ascii="Times New Roman" w:eastAsia="Noto Sans CJK SC Regular" w:hAnsi="Times New Roman" w:cs="Times New Roman"/>
          <w:b/>
          <w:bCs/>
          <w:kern w:val="2"/>
          <w:lang w:eastAsia="zh-CN" w:bidi="hi-IN"/>
        </w:rPr>
        <w:t>UZASADNIENIE</w:t>
      </w:r>
    </w:p>
    <w:p w14:paraId="04C04CE9" w14:textId="77777777" w:rsidR="00F51C1D" w:rsidRDefault="00F51C1D">
      <w:pPr>
        <w:spacing w:after="0" w:line="240" w:lineRule="auto"/>
        <w:rPr>
          <w:rFonts w:ascii="Times New Roman" w:eastAsia="Noto Sans CJK SC Regular" w:hAnsi="Times New Roman" w:cs="Times New Roman"/>
          <w:b/>
          <w:bCs/>
          <w:kern w:val="2"/>
          <w:lang w:eastAsia="zh-CN" w:bidi="hi-IN"/>
        </w:rPr>
      </w:pPr>
    </w:p>
    <w:p w14:paraId="60533FD0" w14:textId="77777777" w:rsidR="00F51C1D" w:rsidRDefault="00000000">
      <w:pPr>
        <w:spacing w:after="0" w:line="240" w:lineRule="auto"/>
        <w:ind w:firstLine="708"/>
        <w:jc w:val="both"/>
        <w:rPr>
          <w:rFonts w:ascii="Times New Roman" w:hAnsi="Times New Roman" w:cs="Times New Roman"/>
        </w:rPr>
      </w:pPr>
      <w:r>
        <w:rPr>
          <w:rFonts w:ascii="Times New Roman" w:eastAsia="Noto Sans CJK SC Regular" w:hAnsi="Times New Roman" w:cs="Times New Roman"/>
          <w:kern w:val="2"/>
          <w:lang w:eastAsia="zh-CN" w:bidi="hi-IN"/>
        </w:rPr>
        <w:lastRenderedPageBreak/>
        <w:t xml:space="preserve">W dniu 21 grudnia 2022 r. do Burmistrza Nowogrodu Bobrzańskiego wpłynął wniosek </w:t>
      </w:r>
      <w:proofErr w:type="spellStart"/>
      <w:r>
        <w:rPr>
          <w:rFonts w:ascii="Times New Roman" w:eastAsia="Noto Sans CJK SC Regular" w:hAnsi="Times New Roman" w:cs="Times New Roman"/>
          <w:kern w:val="2"/>
          <w:lang w:eastAsia="zh-CN" w:bidi="hi-IN"/>
        </w:rPr>
        <w:t>Inex</w:t>
      </w:r>
      <w:proofErr w:type="spellEnd"/>
      <w:r>
        <w:rPr>
          <w:rFonts w:ascii="Times New Roman" w:eastAsia="Noto Sans CJK SC Regular" w:hAnsi="Times New Roman" w:cs="Times New Roman"/>
          <w:kern w:val="2"/>
          <w:lang w:eastAsia="zh-CN" w:bidi="hi-IN"/>
        </w:rPr>
        <w:t xml:space="preserve"> Green Sp. z o.o. ul. Pasterska 2b, 50-226 Wrocław, znak: MEW/03/12/2022/ASP z dnia 14 grudnia 2022 r., uzupełniony pismem znak: MEW/02/02/2023/ASP z dnia</w:t>
      </w:r>
      <w:r>
        <w:rPr>
          <w:rFonts w:ascii="Times New Roman" w:eastAsia="Noto Sans CJK SC Regular" w:hAnsi="Times New Roman" w:cs="Times New Roman"/>
          <w:color w:val="C9211E"/>
          <w:kern w:val="2"/>
          <w:lang w:eastAsia="zh-CN" w:bidi="hi-IN"/>
        </w:rPr>
        <w:t xml:space="preserve"> </w:t>
      </w:r>
      <w:r>
        <w:rPr>
          <w:rFonts w:ascii="Times New Roman" w:eastAsia="Noto Sans CJK SC Regular" w:hAnsi="Times New Roman" w:cs="Times New Roman"/>
          <w:kern w:val="2"/>
          <w:lang w:eastAsia="zh-CN" w:bidi="hi-IN"/>
        </w:rPr>
        <w:t>15 marca 2023r. ( data wpływu: 16.03.2023 r.), o wydanie decyzji o środowiskowych uwarunkowaniach dla przedsięwzięcia pn.:</w:t>
      </w:r>
      <w:r>
        <w:rPr>
          <w:rFonts w:ascii="Times New Roman" w:eastAsia="Noto Sans CJK SC Regular" w:hAnsi="Times New Roman" w:cs="Times New Roman"/>
          <w:color w:val="C9211E"/>
          <w:kern w:val="2"/>
          <w:lang w:eastAsia="zh-CN" w:bidi="hi-IN"/>
        </w:rPr>
        <w:t xml:space="preserve"> </w:t>
      </w:r>
      <w:r>
        <w:rPr>
          <w:rFonts w:ascii="Times New Roman" w:eastAsia="Noto Sans CJK SC Regular" w:hAnsi="Times New Roman" w:cs="Times New Roman"/>
          <w:kern w:val="2"/>
          <w:lang w:eastAsia="zh-CN" w:bidi="hi-IN"/>
        </w:rPr>
        <w:t xml:space="preserve">„Budowa Małej Elektrowni Wodnej Nowogród Bobrzański przy istniejącym jazie piętrzącym w km 47+565 rzeki Bóbr” planowanego do realizacji na terenie działek nr </w:t>
      </w:r>
      <w:proofErr w:type="spellStart"/>
      <w:r>
        <w:rPr>
          <w:rFonts w:ascii="Times New Roman" w:eastAsia="Noto Sans CJK SC Regular" w:hAnsi="Times New Roman" w:cs="Times New Roman"/>
          <w:kern w:val="2"/>
          <w:lang w:eastAsia="zh-CN" w:bidi="hi-IN"/>
        </w:rPr>
        <w:t>ewid</w:t>
      </w:r>
      <w:proofErr w:type="spellEnd"/>
      <w:r>
        <w:rPr>
          <w:rFonts w:ascii="Times New Roman" w:eastAsia="Noto Sans CJK SC Regular" w:hAnsi="Times New Roman" w:cs="Times New Roman"/>
          <w:kern w:val="2"/>
          <w:lang w:eastAsia="zh-CN" w:bidi="hi-IN"/>
        </w:rPr>
        <w:t xml:space="preserve">. 1843/1, 20/8 obręb 0002 Nowogród Bobrzański oraz działek nr </w:t>
      </w:r>
      <w:proofErr w:type="spellStart"/>
      <w:r>
        <w:rPr>
          <w:rFonts w:ascii="Times New Roman" w:eastAsia="Noto Sans CJK SC Regular" w:hAnsi="Times New Roman" w:cs="Times New Roman"/>
          <w:kern w:val="2"/>
          <w:lang w:eastAsia="zh-CN" w:bidi="hi-IN"/>
        </w:rPr>
        <w:t>ewid</w:t>
      </w:r>
      <w:proofErr w:type="spellEnd"/>
      <w:r>
        <w:rPr>
          <w:rFonts w:ascii="Times New Roman" w:eastAsia="Noto Sans CJK SC Regular" w:hAnsi="Times New Roman" w:cs="Times New Roman"/>
          <w:kern w:val="2"/>
          <w:lang w:eastAsia="zh-CN" w:bidi="hi-IN"/>
        </w:rPr>
        <w:t>. 517/3 i 502/6 obręb 0001 Nowogród Bobrzański.</w:t>
      </w:r>
    </w:p>
    <w:p w14:paraId="74C3FF1A" w14:textId="77777777" w:rsidR="00F51C1D" w:rsidRDefault="00000000">
      <w:pPr>
        <w:spacing w:after="0" w:line="240" w:lineRule="auto"/>
        <w:ind w:firstLine="708"/>
        <w:jc w:val="both"/>
        <w:rPr>
          <w:rFonts w:ascii="Times New Roman" w:hAnsi="Times New Roman" w:cs="Times New Roman"/>
        </w:rPr>
      </w:pPr>
      <w:r>
        <w:rPr>
          <w:rFonts w:ascii="Times New Roman" w:eastAsia="Noto Sans CJK SC Regular" w:hAnsi="Times New Roman" w:cs="Times New Roman"/>
          <w:kern w:val="2"/>
          <w:lang w:eastAsia="zh-CN" w:bidi="hi-IN"/>
        </w:rPr>
        <w:t xml:space="preserve">Planowane przedsięwzięcie dotyczy budowy małej elektrowni wodnej przy istniejącym jazie w km 47+565 rzeki Bóbr, na działkach o nr </w:t>
      </w:r>
      <w:proofErr w:type="spellStart"/>
      <w:r>
        <w:rPr>
          <w:rFonts w:ascii="Times New Roman" w:eastAsia="Noto Sans CJK SC Regular" w:hAnsi="Times New Roman" w:cs="Times New Roman"/>
          <w:kern w:val="2"/>
          <w:lang w:eastAsia="zh-CN" w:bidi="hi-IN"/>
        </w:rPr>
        <w:t>ewid</w:t>
      </w:r>
      <w:proofErr w:type="spellEnd"/>
      <w:r>
        <w:rPr>
          <w:rFonts w:ascii="Times New Roman" w:eastAsia="Noto Sans CJK SC Regular" w:hAnsi="Times New Roman" w:cs="Times New Roman"/>
          <w:kern w:val="2"/>
          <w:lang w:eastAsia="zh-CN" w:bidi="hi-IN"/>
        </w:rPr>
        <w:t>. 1843/1 20/8 obręb 0002 Nowogród Bobrzański oraz 517/3 vi 502/6 obręb 0001 Nowogród Bobrzański, gmina Nowogród Bobrzański, powiat zielonogórski, województwo lubuskie.</w:t>
      </w:r>
    </w:p>
    <w:p w14:paraId="1E1E81E8" w14:textId="77777777" w:rsidR="00F51C1D" w:rsidRDefault="00000000">
      <w:pPr>
        <w:spacing w:after="0" w:line="240" w:lineRule="auto"/>
        <w:ind w:firstLine="708"/>
        <w:jc w:val="both"/>
      </w:pPr>
      <w:r>
        <w:rPr>
          <w:rFonts w:ascii="Times New Roman" w:hAnsi="Times New Roman" w:cs="Times New Roman"/>
        </w:rPr>
        <w:t xml:space="preserve">Mała elektrownia wodna usytuowana będzie przy lewym brzegu przy przyczółku jazu i zostanie wyposażona w 4 lub 5 turbin VHL o sumarycznej mocy instalowanej ok. 500 </w:t>
      </w:r>
      <w:proofErr w:type="spellStart"/>
      <w:r>
        <w:rPr>
          <w:rFonts w:ascii="Times New Roman" w:hAnsi="Times New Roman" w:cs="Times New Roman"/>
        </w:rPr>
        <w:t>kW.</w:t>
      </w:r>
      <w:proofErr w:type="spellEnd"/>
      <w:r>
        <w:rPr>
          <w:rFonts w:ascii="Times New Roman" w:hAnsi="Times New Roman" w:cs="Times New Roman"/>
        </w:rPr>
        <w:t xml:space="preserve"> Pomiędzy blokiem elektrowni, a przyczółkiem jazu projektuje się upust płuczący o długości odpowiadającej długości bloku elektrowni tj. ok. 20,0 m oraz szerokości ok. 2,0 m/ Wykonany zostanie także jaz ruchomy 3 przęsłowy wraz z filarami i przyczółkami, który umożliwi utrzymywanie normalnego poziomu piętrzenia oraz sterowanie odpływem w przypadku wystąpienia wód wezbraniowych. Ponadto w ramach inwestycji zaplanowano wykonanie ubezpieczenia brzegu lewego poniżej jazu (z narzutu kamiennego) o długości ok 130 m oraz ubezpieczenia brzegu lewego powyżej jazu, jako szczelnego wału ziemnego o długości ok. 140 m stanowiącego również nasyp przepławki a także ubezpieczenia prawego brzegu poniżej jazu z narzutu kamiennego o długości ok. 130 m i ubezpieczenia prawego powyżej jazu o długości ok. 140 m. Przepławka dla ryb zostanie wykonana w formie meandrującego kanału ze skarpami o zmiennym nachyleniu skarp od 1:1 do 1:2 ubezpieczonymi darnią oraz kamieniami u podstawy (lokalnie możliwe ubezpieczenie podstawy skarpy kiszką faszynową). Całkowita długość urządzenia wyniesie ok. 160 m natomiast spadek dna będzie wynosić ok 1:100. Szerokość w dnie będzie wynosić ok. 1,8 m. Nad przepławką projektuje się kładkę umożliwiającą dojazd do MEW.</w:t>
      </w:r>
    </w:p>
    <w:p w14:paraId="136A65B2" w14:textId="77777777" w:rsidR="00F51C1D" w:rsidRDefault="00000000">
      <w:pPr>
        <w:spacing w:after="0" w:line="240" w:lineRule="auto"/>
        <w:ind w:firstLine="708"/>
        <w:jc w:val="both"/>
      </w:pPr>
      <w:r>
        <w:rPr>
          <w:rFonts w:ascii="Times New Roman" w:eastAsia="Noto Sans CJK SC Regular" w:hAnsi="Times New Roman" w:cs="Times New Roman"/>
          <w:kern w:val="2"/>
          <w:lang w:eastAsia="zh-CN" w:bidi="hi-IN"/>
        </w:rPr>
        <w:t>Przedsięwzięcie zostało zakwalifikowane zgodnie z § 3 ust. 1 pkt. 5 i pkt 69 lit. a oraz lit. d Rozporządzenia Rady Ministrów z dnia 10 września 2019 roku w sprawie przedsięwzięć mogących znacząco oddziaływać na środowisko (Dz. U. z 2019r. poz. 1839 ze zm.), jest zatem przedsięwzięciem mogącym potencjalnie znacząco oddziaływać na środowisko.</w:t>
      </w:r>
    </w:p>
    <w:p w14:paraId="73CC0AEB" w14:textId="77777777" w:rsidR="00F51C1D" w:rsidRDefault="00000000">
      <w:pPr>
        <w:spacing w:after="0" w:line="240" w:lineRule="auto"/>
        <w:jc w:val="both"/>
        <w:rPr>
          <w:color w:val="C9211E"/>
        </w:rPr>
      </w:pPr>
      <w:r>
        <w:rPr>
          <w:rFonts w:ascii="Times New Roman" w:eastAsia="Noto Sans CJK SC Regular" w:hAnsi="Times New Roman" w:cs="Times New Roman"/>
          <w:color w:val="C9211E"/>
          <w:kern w:val="2"/>
          <w:lang w:eastAsia="zh-CN" w:bidi="hi-IN"/>
        </w:rPr>
        <w:tab/>
      </w:r>
      <w:r>
        <w:rPr>
          <w:rFonts w:ascii="Times New Roman" w:eastAsia="Noto Sans CJK SC Regular" w:hAnsi="Times New Roman" w:cs="Times New Roman"/>
          <w:kern w:val="2"/>
          <w:lang w:eastAsia="zh-CN" w:bidi="hi-IN"/>
        </w:rPr>
        <w:t xml:space="preserve">W myśl art. 71 ust. 2 pkt 2 ustawy o </w:t>
      </w:r>
      <w:proofErr w:type="spellStart"/>
      <w:r>
        <w:rPr>
          <w:rFonts w:ascii="Times New Roman" w:eastAsia="Noto Sans CJK SC Regular" w:hAnsi="Times New Roman" w:cs="Times New Roman"/>
          <w:kern w:val="2"/>
          <w:lang w:eastAsia="zh-CN" w:bidi="hi-IN"/>
        </w:rPr>
        <w:t>ooś</w:t>
      </w:r>
      <w:proofErr w:type="spellEnd"/>
      <w:r>
        <w:rPr>
          <w:rFonts w:ascii="Times New Roman" w:eastAsia="Noto Sans CJK SC Regular" w:hAnsi="Times New Roman" w:cs="Times New Roman"/>
          <w:kern w:val="2"/>
          <w:lang w:eastAsia="zh-CN" w:bidi="hi-IN"/>
        </w:rPr>
        <w:t xml:space="preserve"> dla planowanych przedsięwzięć mogących potencjalnie znacząco oddziaływać na środowisko wymagane jest uzyskanie decyzji o środowiskowych uwarunkowaniach.</w:t>
      </w:r>
    </w:p>
    <w:p w14:paraId="75CBCE7B" w14:textId="77777777" w:rsidR="00F51C1D" w:rsidRDefault="00000000">
      <w:pPr>
        <w:spacing w:after="0" w:line="240" w:lineRule="auto"/>
        <w:ind w:firstLine="708"/>
        <w:jc w:val="both"/>
      </w:pPr>
      <w:r>
        <w:rPr>
          <w:rFonts w:ascii="Times New Roman" w:eastAsia="Noto Sans CJK SC Regular" w:hAnsi="Times New Roman" w:cs="Times New Roman"/>
          <w:kern w:val="2"/>
          <w:lang w:eastAsia="zh-CN" w:bidi="hi-IN"/>
        </w:rPr>
        <w:t>Zgodnie z art. 63 ust. 1 i art. 64 ust. 1 ustawy z dnia 3 października 2008 roku o udostępnianiu informacji o środowisku i jego ochronie, udziale społeczeństwa w ochronie środowiska oraz o ocenach oddziaływania na środowisko (</w:t>
      </w:r>
      <w:proofErr w:type="spellStart"/>
      <w:r>
        <w:rPr>
          <w:rFonts w:ascii="Times New Roman" w:eastAsia="Noto Sans CJK SC Regular" w:hAnsi="Times New Roman" w:cs="Times New Roman"/>
          <w:kern w:val="2"/>
          <w:lang w:eastAsia="zh-CN" w:bidi="hi-IN"/>
        </w:rPr>
        <w:t>t.j</w:t>
      </w:r>
      <w:proofErr w:type="spellEnd"/>
      <w:r>
        <w:rPr>
          <w:rFonts w:ascii="Times New Roman" w:eastAsia="Noto Sans CJK SC Regular" w:hAnsi="Times New Roman" w:cs="Times New Roman"/>
          <w:kern w:val="2"/>
          <w:lang w:eastAsia="zh-CN" w:bidi="hi-IN"/>
        </w:rPr>
        <w:t>. Dz. U. z 2022r. poz. 1029 ze zm.), organ właściwy do wydania decyzji o środowiskowych uwarunkowaniach postanawia o obowiązku przeprowadzenia oceny oddziaływania na środowisko po zasięgnięciu opinii Regionalnego Dyrektora Ochrony Środowiska, Państwowego Powiatowego Inspektora Sanitarnego oraz organu właściwego do wydania oceny wodnoprawnej.</w:t>
      </w:r>
    </w:p>
    <w:p w14:paraId="26BD414B" w14:textId="77777777" w:rsidR="00F51C1D" w:rsidRDefault="00000000">
      <w:pPr>
        <w:spacing w:after="0" w:line="240" w:lineRule="auto"/>
        <w:jc w:val="both"/>
        <w:rPr>
          <w:color w:val="C9211E"/>
        </w:rPr>
      </w:pPr>
      <w:r>
        <w:rPr>
          <w:rFonts w:ascii="Times New Roman" w:eastAsia="Noto Sans CJK SC Regular" w:hAnsi="Times New Roman" w:cs="Times New Roman"/>
          <w:color w:val="C9211E"/>
          <w:kern w:val="2"/>
          <w:lang w:eastAsia="zh-CN" w:bidi="hi-IN"/>
        </w:rPr>
        <w:tab/>
      </w:r>
      <w:r>
        <w:rPr>
          <w:rFonts w:ascii="Times New Roman" w:eastAsia="Noto Sans CJK SC Regular" w:hAnsi="Times New Roman" w:cs="Times New Roman"/>
          <w:kern w:val="2"/>
          <w:lang w:eastAsia="zh-CN" w:bidi="hi-IN"/>
        </w:rPr>
        <w:t>W związku z powyższym działając zgodnie z art. 64 cyt. wyżej ustawy Burmistrz Nowogrodu Bobrzańskiego w dniu 13 lutego 2022r. wystąpił z wnioskiem znak: GKIII.6220.8.2022.AŁ do Regionalnego Dyrektora Ochrony Środowiska w Gorzowie Wielkopolskim, Państwowego Powiatowego Inspektora Sanitarnego w Zielonej Górze oraz Dyrektora PGW Wody Polskie Zarządu Zlewni w Lwówku Śląskim w sprawie wyrażenia opinii co do konieczności przeprowadzenia oceny oddziaływania przedsięwzięcia na środowisko.</w:t>
      </w:r>
    </w:p>
    <w:p w14:paraId="457E906B" w14:textId="77777777" w:rsidR="00F51C1D" w:rsidRDefault="00000000">
      <w:pPr>
        <w:spacing w:after="0" w:line="240" w:lineRule="auto"/>
        <w:ind w:firstLine="708"/>
        <w:jc w:val="both"/>
      </w:pPr>
      <w:r>
        <w:rPr>
          <w:rFonts w:ascii="Times New Roman" w:hAnsi="Times New Roman" w:cs="Times New Roman"/>
        </w:rPr>
        <w:t>Państwowy Powiatowy Inspektor Sanitarny w Zielonej Górze, w opinii z dnia 23 lutego 2023r. (data wpływu do tut. Urzędu 23.02.2023 r.) znak: NZ.9022.1.19.2023 w zakresie wymagań higienicznych i zdrowotnych nie stwierdził potrzeby przeprowadzenia oceny oddziaływania przedmiotowego przedsięwzięcia na środowisko.</w:t>
      </w:r>
    </w:p>
    <w:p w14:paraId="23773F3A" w14:textId="77777777" w:rsidR="00F51C1D" w:rsidRDefault="00000000">
      <w:pPr>
        <w:spacing w:line="240" w:lineRule="auto"/>
        <w:ind w:firstLine="708"/>
        <w:jc w:val="both"/>
      </w:pPr>
      <w:r>
        <w:rPr>
          <w:rFonts w:ascii="Times New Roman" w:eastAsia="Noto Sans CJK SC Regular" w:hAnsi="Times New Roman" w:cs="Times New Roman"/>
          <w:kern w:val="2"/>
          <w:lang w:eastAsia="zh-CN" w:bidi="hi-IN"/>
        </w:rPr>
        <w:t xml:space="preserve">Regionalny Dyrektor Ochrony Środowiska w Gorzowie Wielkopolskim pismem z dnia 3 marca 2023r. (data wpływu do tut. Urzędu 3.03.2023r.) wyraził opinię, że dla przedmiotowego przedsięwzięcia zachodzi konieczność przeprowadzenia oceny oddziaływania na środowisko i sporządzenia raportu o oddziaływaniu przedsięwzięcia na środowisko w zakresie zgodnym z art. 66 ustawy z dnia 3 października 2008 r. o udostępnianiu informacji o środowisku i jego ochronie, udziale społeczeństwa w </w:t>
      </w:r>
      <w:r>
        <w:rPr>
          <w:rFonts w:ascii="Times New Roman" w:eastAsia="Noto Sans CJK SC Regular" w:hAnsi="Times New Roman" w:cs="Times New Roman"/>
          <w:kern w:val="2"/>
          <w:lang w:eastAsia="zh-CN" w:bidi="hi-IN"/>
        </w:rPr>
        <w:lastRenderedPageBreak/>
        <w:t>ochronie środowiska oraz o ocenach oddziaływania na środowisko (</w:t>
      </w:r>
      <w:proofErr w:type="spellStart"/>
      <w:r>
        <w:rPr>
          <w:rFonts w:ascii="Times New Roman" w:eastAsia="Noto Sans CJK SC Regular" w:hAnsi="Times New Roman" w:cs="Times New Roman"/>
          <w:kern w:val="2"/>
          <w:lang w:eastAsia="zh-CN" w:bidi="hi-IN"/>
        </w:rPr>
        <w:t>t.j</w:t>
      </w:r>
      <w:proofErr w:type="spellEnd"/>
      <w:r>
        <w:rPr>
          <w:rFonts w:ascii="Times New Roman" w:eastAsia="Noto Sans CJK SC Regular" w:hAnsi="Times New Roman" w:cs="Times New Roman"/>
          <w:kern w:val="2"/>
          <w:lang w:eastAsia="zh-CN" w:bidi="hi-IN"/>
        </w:rPr>
        <w:t>. Dz. U. z 2022 r. poz. 1029 ze zm.) wskazując jednocześnie elementy wymagające szczegółowej analizy.</w:t>
      </w:r>
    </w:p>
    <w:p w14:paraId="30C14C31" w14:textId="77777777" w:rsidR="00F51C1D" w:rsidRDefault="00000000">
      <w:pPr>
        <w:spacing w:after="0" w:line="240" w:lineRule="auto"/>
        <w:ind w:firstLine="708"/>
        <w:jc w:val="both"/>
      </w:pPr>
      <w:r>
        <w:rPr>
          <w:rFonts w:ascii="Times New Roman" w:eastAsia="Noto Sans CJK SC Regular" w:hAnsi="Times New Roman" w:cs="Times New Roman"/>
          <w:kern w:val="2"/>
          <w:lang w:eastAsia="zh-CN" w:bidi="hi-IN"/>
        </w:rPr>
        <w:t xml:space="preserve">W postanowieniu znak: WR.ZZŚ.3.4901.26.2023.ES z dnia 13 marca 2023r. (data wpływu do tut. Urzędu 16.03.2023r.) Dyrektor PGW Wody Polskie Zarządu Zlewni w Lwówku Śląskim wyraził uzgodnienie, że dla przedsięwzięcia pn. „Budowa Małej Elektrowni Wodnej Nowogród Bobrzański przy istniejącym jazie piętrzącym w km 47+565 rzeki Bóbr” istnieje konieczność przeprowadzenia oceny oddziaływania na środowisko w zakresie raportu zgodnym z art. 66  ustawy </w:t>
      </w:r>
      <w:proofErr w:type="spellStart"/>
      <w:r>
        <w:rPr>
          <w:rFonts w:ascii="Times New Roman" w:eastAsia="Noto Sans CJK SC Regular" w:hAnsi="Times New Roman" w:cs="Times New Roman"/>
          <w:kern w:val="2"/>
          <w:lang w:eastAsia="zh-CN" w:bidi="hi-IN"/>
        </w:rPr>
        <w:t>ooś</w:t>
      </w:r>
      <w:proofErr w:type="spellEnd"/>
      <w:r>
        <w:rPr>
          <w:rFonts w:ascii="Times New Roman" w:eastAsia="Noto Sans CJK SC Regular" w:hAnsi="Times New Roman" w:cs="Times New Roman"/>
          <w:kern w:val="2"/>
          <w:lang w:eastAsia="zh-CN" w:bidi="hi-IN"/>
        </w:rPr>
        <w:t xml:space="preserve">, ze szczególnym uwzględnieniem podanych zagadnień z zakresu ochrony środowiska gruntowo -wodnego w aspekcie oddziaływania przedmiotowego przedsięwzięcia na stan jednolitych części wód oraz realizację celów środowiskowych. </w:t>
      </w:r>
    </w:p>
    <w:p w14:paraId="0294CF84" w14:textId="77777777" w:rsidR="00F51C1D" w:rsidRDefault="00000000">
      <w:pPr>
        <w:spacing w:line="240" w:lineRule="auto"/>
        <w:jc w:val="both"/>
        <w:rPr>
          <w:color w:val="C9211E"/>
        </w:rPr>
      </w:pPr>
      <w:r>
        <w:rPr>
          <w:rFonts w:ascii="Times New Roman" w:eastAsia="Noto Sans CJK SC Regular" w:hAnsi="Times New Roman" w:cs="Times New Roman"/>
          <w:color w:val="C9211E"/>
          <w:kern w:val="2"/>
          <w:lang w:eastAsia="zh-CN" w:bidi="hi-IN"/>
        </w:rPr>
        <w:tab/>
      </w:r>
      <w:r>
        <w:rPr>
          <w:rFonts w:ascii="Times New Roman" w:hAnsi="Times New Roman" w:cs="Times New Roman"/>
        </w:rPr>
        <w:t xml:space="preserve">Organ, uwzględniając w/w opinie oraz biorąc pod uwagę uwarunkowania określone w art. 63 ust. 1 ustawy </w:t>
      </w:r>
      <w:proofErr w:type="spellStart"/>
      <w:r>
        <w:rPr>
          <w:rFonts w:ascii="Times New Roman" w:hAnsi="Times New Roman" w:cs="Times New Roman"/>
        </w:rPr>
        <w:t>ooś</w:t>
      </w:r>
      <w:proofErr w:type="spellEnd"/>
      <w:r>
        <w:rPr>
          <w:rFonts w:ascii="Times New Roman" w:hAnsi="Times New Roman" w:cs="Times New Roman"/>
        </w:rPr>
        <w:t xml:space="preserve"> postanowił o obowiązku przeprowadzenia oceny oddziaływania przedmiotowego przedsięwzięcia na środowisko.</w:t>
      </w:r>
    </w:p>
    <w:p w14:paraId="21E9BB05" w14:textId="77777777" w:rsidR="00F51C1D" w:rsidRDefault="00000000">
      <w:pPr>
        <w:spacing w:line="240" w:lineRule="auto"/>
        <w:ind w:firstLine="708"/>
        <w:jc w:val="both"/>
        <w:rPr>
          <w:color w:val="C9211E"/>
        </w:rPr>
      </w:pPr>
      <w:r>
        <w:rPr>
          <w:rFonts w:ascii="Times New Roman" w:hAnsi="Times New Roman" w:cs="Times New Roman"/>
        </w:rPr>
        <w:t xml:space="preserve">Uwzględniając łącznie uwarunkowania związane z kwalifikowaniem przedsięwzięcia do przeprowadzenia oceny oddziaływania na środowisko, określone w art. 63 ustawy </w:t>
      </w:r>
      <w:proofErr w:type="spellStart"/>
      <w:r>
        <w:rPr>
          <w:rFonts w:ascii="Times New Roman" w:hAnsi="Times New Roman" w:cs="Times New Roman"/>
        </w:rPr>
        <w:t>ooś</w:t>
      </w:r>
      <w:proofErr w:type="spellEnd"/>
      <w:r>
        <w:rPr>
          <w:rFonts w:ascii="Times New Roman" w:hAnsi="Times New Roman" w:cs="Times New Roman"/>
        </w:rPr>
        <w:t>, po analizie wniosku o wydanie decyzji o środowiskowych uwarunkowaniach dla planowanego przedsięwzięcia oraz karty informacyjnej, stwierdzono, że nie jest ono zlokalizowane na obszarach wodno-błotnych oraz innych obszarach o płytkim zaleganiu wód podziemnych,</w:t>
      </w:r>
      <w:r>
        <w:rPr>
          <w:rFonts w:ascii="Times New Roman" w:hAnsi="Times New Roman" w:cs="Times New Roman"/>
          <w:color w:val="C9211E"/>
        </w:rPr>
        <w:t xml:space="preserve"> </w:t>
      </w:r>
      <w:r>
        <w:rPr>
          <w:rFonts w:ascii="Times New Roman" w:hAnsi="Times New Roman" w:cs="Times New Roman"/>
        </w:rPr>
        <w:t>na obszarach wybrzeży i w środowisku morskim, obszarach górskich.</w:t>
      </w:r>
      <w:r>
        <w:rPr>
          <w:rFonts w:ascii="Times New Roman" w:hAnsi="Times New Roman" w:cs="Times New Roman"/>
          <w:color w:val="C9211E"/>
        </w:rPr>
        <w:t xml:space="preserve"> </w:t>
      </w:r>
      <w:r>
        <w:rPr>
          <w:rFonts w:ascii="Times New Roman" w:hAnsi="Times New Roman" w:cs="Times New Roman"/>
        </w:rPr>
        <w:t xml:space="preserve">Przedsięwzięcie nie jest zlokalizowane na obszarach objętych ochroną, w tym strefach ochronnych ujęć wód i obszarach ochronnych zbiorników wód śródlądowych, </w:t>
      </w:r>
      <w:r>
        <w:rPr>
          <w:rFonts w:ascii="Times New Roman" w:hAnsi="Times New Roman" w:cs="Times New Roman"/>
          <w:color w:val="C9211E"/>
        </w:rPr>
        <w:t xml:space="preserve"> </w:t>
      </w:r>
      <w:r>
        <w:rPr>
          <w:rFonts w:ascii="Times New Roman" w:hAnsi="Times New Roman" w:cs="Times New Roman"/>
        </w:rPr>
        <w:t>obszarach na których standardy jakości środowiska zostały przekroczone.</w:t>
      </w:r>
      <w:r>
        <w:rPr>
          <w:rFonts w:ascii="Times New Roman" w:hAnsi="Times New Roman" w:cs="Times New Roman"/>
          <w:color w:val="C9211E"/>
        </w:rPr>
        <w:t xml:space="preserve"> </w:t>
      </w:r>
      <w:r>
        <w:rPr>
          <w:rFonts w:ascii="Times New Roman" w:hAnsi="Times New Roman" w:cs="Times New Roman"/>
        </w:rPr>
        <w:t>Nie jest zlokalizowane również na obszarach o krajobrazie mającym znaczenie historyczne, kulturowe lub archeologiczne, obszarach przylegających do jezior, obszarach ochrony uzdrowiskowej.</w:t>
      </w:r>
      <w:r>
        <w:rPr>
          <w:rFonts w:ascii="Times New Roman" w:hAnsi="Times New Roman" w:cs="Times New Roman"/>
          <w:color w:val="C9211E"/>
        </w:rPr>
        <w:t xml:space="preserve"> </w:t>
      </w:r>
      <w:r>
        <w:rPr>
          <w:rFonts w:ascii="Times New Roman" w:hAnsi="Times New Roman" w:cs="Times New Roman"/>
        </w:rPr>
        <w:t>Inwestycja zlokalizowana będzie w obszarze szczególnego zagrożenia powodzią.</w:t>
      </w:r>
      <w:r>
        <w:rPr>
          <w:rFonts w:ascii="Times New Roman" w:hAnsi="Times New Roman" w:cs="Times New Roman"/>
          <w:color w:val="C9211E"/>
        </w:rPr>
        <w:t xml:space="preserve"> </w:t>
      </w:r>
    </w:p>
    <w:p w14:paraId="1EB86DE9" w14:textId="77777777" w:rsidR="00F51C1D" w:rsidRDefault="00000000">
      <w:pPr>
        <w:spacing w:line="240" w:lineRule="auto"/>
        <w:ind w:firstLine="708"/>
        <w:jc w:val="both"/>
      </w:pPr>
      <w:r>
        <w:rPr>
          <w:rFonts w:ascii="Times New Roman" w:hAnsi="Times New Roman" w:cs="Times New Roman"/>
        </w:rPr>
        <w:t xml:space="preserve">Działki o numerach </w:t>
      </w:r>
      <w:proofErr w:type="spellStart"/>
      <w:r>
        <w:rPr>
          <w:rFonts w:ascii="Times New Roman" w:hAnsi="Times New Roman" w:cs="Times New Roman"/>
        </w:rPr>
        <w:t>ewid</w:t>
      </w:r>
      <w:proofErr w:type="spellEnd"/>
      <w:r>
        <w:rPr>
          <w:rFonts w:ascii="Times New Roman" w:hAnsi="Times New Roman" w:cs="Times New Roman"/>
        </w:rPr>
        <w:t>. 1843/1, 20/8, 517/3, 502/6 obręb Nowogród Bobrzański nie są objęte miejscowym planem zagospodarowania przestrzennego. Inwestycja jest zlokalizowana na terenie leśnym własności Skarbu Państwa pod zarządem PGL Lasy Państwowe Regionalnej Dyrekcji Lasów Państwowych w Zielonej Górze, w zarządzie Nadleśnictwa Krzystkowice.</w:t>
      </w:r>
    </w:p>
    <w:p w14:paraId="245D4BE1" w14:textId="77777777" w:rsidR="00F51C1D" w:rsidRDefault="00000000">
      <w:pPr>
        <w:spacing w:line="240" w:lineRule="auto"/>
        <w:ind w:firstLine="708"/>
        <w:jc w:val="both"/>
      </w:pPr>
      <w:r>
        <w:rPr>
          <w:rFonts w:ascii="Times New Roman" w:hAnsi="Times New Roman" w:cs="Times New Roman"/>
        </w:rPr>
        <w:t>Etap realizacji nie będzie związany ze znaczącymi oddziaływaniami. Występować będzie emisja hałasu i niezorganizowana emisja zanieczyszczeń do powietrza, której źródłem będą maszyny i urządzenia budowlane. Dla potrzeb pracowników na terenie inwestycji (poza obszarem zagrożenia powodziowego) zostaną umieszczone przenośne sanitariaty, z których ścieki będą odbierane przez firmę odpowiedzialną za ich wywóz. Wytwarzane w trakcie prac budowlanych odpady będą składowane w specjalnych pojemnikach ( na zapleczu obszaru budowy – poza obszarem zagrożenia powodziowego), a następnie odbierane przez wyspecjalizowane firmy. W związku z realizacją inwestycji przewiduje się wycinkę drzew i krzewów rosnących w rejonie lewego brzegu, w miejscu lokalizacji małej elektrowni wodnej,. Oddziaływania na etapie realizacji będą miały charakter krótkookresowy, odwracalny i lokalny. Ustaną one po zakończeniu budowy.</w:t>
      </w:r>
    </w:p>
    <w:p w14:paraId="2A34AE1D" w14:textId="77777777" w:rsidR="00F51C1D" w:rsidRDefault="00000000">
      <w:pPr>
        <w:spacing w:line="240" w:lineRule="auto"/>
        <w:ind w:firstLine="708"/>
        <w:jc w:val="both"/>
      </w:pPr>
      <w:r>
        <w:rPr>
          <w:rFonts w:ascii="Times New Roman" w:hAnsi="Times New Roman" w:cs="Times New Roman"/>
        </w:rPr>
        <w:t>Etap użytkowania nie będzie związany z emisją zanieczyszczeń do powietrza. Brak będzie także znacznych ilości odpadów. Funkcjonowanie elektrowni wodnej nie wiąże się również z powstawaniem ścieków,. Na etapie eksploatacji MEW nie przewiduje się negatywnego oddziaływania na klimat akustyczny, ze względu na zastosowane technologie, poziom hałasu emitowanego przez urządzenia będzie pomijalny.</w:t>
      </w:r>
    </w:p>
    <w:p w14:paraId="42084AED" w14:textId="77777777" w:rsidR="00F51C1D" w:rsidRDefault="00000000">
      <w:pPr>
        <w:spacing w:line="240" w:lineRule="auto"/>
        <w:ind w:firstLine="708"/>
        <w:jc w:val="both"/>
      </w:pPr>
      <w:r>
        <w:rPr>
          <w:rFonts w:ascii="Times New Roman" w:hAnsi="Times New Roman" w:cs="Times New Roman"/>
        </w:rPr>
        <w:t>Działki, na których realizowane będzie przedsięwzięcie położone są w obszarze chronionego krajobrazu „Dolina Bobru”, wyznaczonym uchwałą Nr XXIV/321/16 Sejmiku Województwa Lubuskiego  z dnia 10 października 2016 r. w sprawie wyznaczenia obszaru chronionego krajobrazu „Dolina Bobru” (Dz. Urz. Woj. Lubuskiego z 17 października 2016 r., poz. 2051). Ta forma ochrony przyrody obejmuje obszar chroniony z uwagi na wyróżniające się krajobrazowo tereny o zróżnicowanych ekosystemach, wartościowe ze względu na możliwość zaspokajania potrzeb związanych z turystyką i wypoczynkiem lub pełnioną funkcją korytarzy ekologicznych.</w:t>
      </w:r>
    </w:p>
    <w:p w14:paraId="532F4F5F" w14:textId="77777777" w:rsidR="00F51C1D" w:rsidRDefault="00000000">
      <w:pPr>
        <w:spacing w:after="0" w:line="240" w:lineRule="auto"/>
        <w:ind w:firstLine="708"/>
        <w:jc w:val="both"/>
      </w:pPr>
      <w:r>
        <w:rPr>
          <w:rFonts w:ascii="Times New Roman" w:hAnsi="Times New Roman" w:cs="Times New Roman"/>
        </w:rPr>
        <w:lastRenderedPageBreak/>
        <w:t xml:space="preserve">Powyższe cele mają być realizowane przez m.in. reżim ochronny wyrażony w pięciu zakazach. Wśród nich znajduje się zakaz, sformułowany w § 3 ust. 1 pkt 2 ww. uchwały, o treści: (zakazuje się) realizacji przedsięwzięć mogących znacząco oddziaływać na środowisko w rozumieniu przepisów ustawy </w:t>
      </w:r>
      <w:proofErr w:type="spellStart"/>
      <w:r>
        <w:rPr>
          <w:rFonts w:ascii="Times New Roman" w:hAnsi="Times New Roman" w:cs="Times New Roman"/>
        </w:rPr>
        <w:t>ooś</w:t>
      </w:r>
      <w:proofErr w:type="spellEnd"/>
      <w:r>
        <w:rPr>
          <w:rFonts w:ascii="Times New Roman" w:hAnsi="Times New Roman" w:cs="Times New Roman"/>
        </w:rPr>
        <w:t>.</w:t>
      </w:r>
    </w:p>
    <w:p w14:paraId="5904D138" w14:textId="77777777" w:rsidR="00F51C1D" w:rsidRDefault="00000000">
      <w:pPr>
        <w:spacing w:after="0" w:line="240" w:lineRule="auto"/>
        <w:ind w:firstLine="708"/>
        <w:jc w:val="both"/>
      </w:pPr>
      <w:r>
        <w:rPr>
          <w:rFonts w:ascii="Times New Roman" w:hAnsi="Times New Roman" w:cs="Times New Roman"/>
        </w:rPr>
        <w:t>Przedsięwzięcie, zgodnie z § 3 ust. 1 pkt 5 i 69 lit a i d rozporządzenia znajduje się na liście przedsięwzięć mogących potencjalnie znacząco oddziaływać na środowisko., Tego typu przedsięwzięcie by mogło być tu zrealizowane musi być poddane procedurze oceny oddziaływania na środowisko, w wyniku której wykazany zostanie brak niekorzystnego wpływu na ochronę przyrody i ochronę krajobrazu obszaru chronionego krajobrazu, zgodnie z art. 24 ust. 3 ustawy o ochronie przyrody  z dnia 16 kwietnia 2004 r. (Dz. U. Z 2022 r. poz. 916 ze zm.). Jeżeli ocena wykaże niekorzystny wpływ na ochronę przyrody i ochronę krajobrazu obszaru chronionego krajobrazu, przedsięwzięcie nie będzie mogło być podjęte.</w:t>
      </w:r>
    </w:p>
    <w:p w14:paraId="28DB25CA" w14:textId="77777777" w:rsidR="00F51C1D" w:rsidRDefault="00000000">
      <w:pPr>
        <w:spacing w:after="29" w:line="240" w:lineRule="auto"/>
        <w:ind w:firstLine="708"/>
        <w:jc w:val="both"/>
      </w:pPr>
      <w:r>
        <w:rPr>
          <w:rFonts w:ascii="Times New Roman" w:hAnsi="Times New Roman" w:cs="Times New Roman"/>
        </w:rPr>
        <w:t xml:space="preserve">Inwestycja realizowana będzie poza granicami innych form ochrony przyrody, w odległości ok. 1,19 km od granicy obszaru Natura 2000 </w:t>
      </w:r>
      <w:proofErr w:type="spellStart"/>
      <w:r>
        <w:rPr>
          <w:rFonts w:ascii="Times New Roman" w:hAnsi="Times New Roman" w:cs="Times New Roman"/>
        </w:rPr>
        <w:t>Mopkowy</w:t>
      </w:r>
      <w:proofErr w:type="spellEnd"/>
      <w:r>
        <w:rPr>
          <w:rFonts w:ascii="Times New Roman" w:hAnsi="Times New Roman" w:cs="Times New Roman"/>
        </w:rPr>
        <w:t xml:space="preserve"> tunel koło Krzystkowic PLH080024 oraz w odległości ok. 1,27 km od granicy obszaru Natura 2000 Dolina Dolnego Bobru PLH080068.</w:t>
      </w:r>
    </w:p>
    <w:p w14:paraId="7A45850E" w14:textId="77777777" w:rsidR="00F51C1D" w:rsidRDefault="00000000">
      <w:pPr>
        <w:spacing w:after="29" w:line="240" w:lineRule="auto"/>
        <w:ind w:firstLine="708"/>
        <w:jc w:val="both"/>
        <w:rPr>
          <w:color w:val="C9211E"/>
        </w:rPr>
      </w:pPr>
      <w:r>
        <w:rPr>
          <w:rFonts w:ascii="Times New Roman" w:eastAsia="Noto Sans CJK SC Regular" w:hAnsi="Times New Roman" w:cs="Times New Roman"/>
          <w:kern w:val="2"/>
          <w:lang w:eastAsia="zh-CN" w:bidi="hi-IN"/>
        </w:rPr>
        <w:t>Projektowana inwestycja zlokalizowana jest w granicach jednostki planistycznej gospodarowania wodami- jednolitej części wód powierzchniowych (JCWP) o nazwie Bóbr od Kwisy do Kanału Dychowskiego, o kodzie PLRW60002016931- jest to naturalna część wód, jej stan oceniono jako zły, a osiągnięcie celów środowiskowych jako zagrożone. Celem środowiskowych jest osiągnięcie dobrego stanu ekologicznego, możliwość migracji organizmów wodnych na odcinku cieku istotnego- Bóbr w obrębie JCWP i stanu chemicznego. Przedmiotowy obszar inwestycji znajduje się w obszarze jednolitej części wód podziemnych (</w:t>
      </w:r>
      <w:proofErr w:type="spellStart"/>
      <w:r>
        <w:rPr>
          <w:rFonts w:ascii="Times New Roman" w:eastAsia="Noto Sans CJK SC Regular" w:hAnsi="Times New Roman" w:cs="Times New Roman"/>
          <w:kern w:val="2"/>
          <w:lang w:eastAsia="zh-CN" w:bidi="hi-IN"/>
        </w:rPr>
        <w:t>JCWPd</w:t>
      </w:r>
      <w:proofErr w:type="spellEnd"/>
      <w:r>
        <w:rPr>
          <w:rFonts w:ascii="Times New Roman" w:eastAsia="Noto Sans CJK SC Regular" w:hAnsi="Times New Roman" w:cs="Times New Roman"/>
          <w:kern w:val="2"/>
          <w:lang w:eastAsia="zh-CN" w:bidi="hi-IN"/>
        </w:rPr>
        <w:t>) nr 77 o kodzie PLGW600077, która charakteryzuje się dobrym stanem ilościowym i dobrym stanem chemicznym, i oceniona została jako niezagrożona nieosiągnięciem celu środowiskowego, jakim jest dobry stan ilościowy i chemiczny. Planowana inwestycja nie znajduje się w obrębie Głównego Zbiornika Wód Podziemnych (GZWP).</w:t>
      </w:r>
    </w:p>
    <w:p w14:paraId="580E5FA6" w14:textId="77777777" w:rsidR="00F51C1D" w:rsidRDefault="00000000">
      <w:pPr>
        <w:spacing w:after="0" w:line="240" w:lineRule="auto"/>
        <w:ind w:firstLine="708"/>
        <w:jc w:val="both"/>
        <w:rPr>
          <w:color w:val="C9211E"/>
        </w:rPr>
      </w:pPr>
      <w:r>
        <w:rPr>
          <w:rFonts w:ascii="Times New Roman" w:eastAsia="Noto Sans CJK SC Regular" w:hAnsi="Times New Roman" w:cs="Lohit Devanagari"/>
          <w:kern w:val="2"/>
          <w:lang w:eastAsia="zh-CN" w:bidi="hi-IN"/>
        </w:rPr>
        <w:t>Przedsięwzięcie związane jest z wykorzystywaniem energii wody, zatem zalicza się do odnawialnych źródeł energii.</w:t>
      </w:r>
      <w:r>
        <w:rPr>
          <w:rFonts w:ascii="Times New Roman" w:eastAsia="Noto Sans CJK SC Regular" w:hAnsi="Times New Roman" w:cs="Lohit Devanagari"/>
          <w:color w:val="C9211E"/>
          <w:kern w:val="2"/>
          <w:lang w:eastAsia="zh-CN" w:bidi="hi-IN"/>
        </w:rPr>
        <w:t xml:space="preserve"> </w:t>
      </w:r>
      <w:r>
        <w:rPr>
          <w:rFonts w:ascii="Times New Roman" w:eastAsia="Noto Sans CJK SC Regular" w:hAnsi="Times New Roman" w:cs="Lohit Devanagari"/>
          <w:kern w:val="2"/>
          <w:lang w:eastAsia="zh-CN" w:bidi="hi-IN"/>
        </w:rPr>
        <w:t>Tym samym wpisuje się w trend ograniczania zużycia paliw kopalnych, a w konsekwencji wpływu na spowolnienie ewentualnych zmian klimatu.</w:t>
      </w:r>
      <w:r>
        <w:rPr>
          <w:rFonts w:ascii="Times New Roman" w:eastAsia="Noto Sans CJK SC Regular" w:hAnsi="Times New Roman" w:cs="Lohit Devanagari"/>
          <w:color w:val="C9211E"/>
          <w:kern w:val="2"/>
          <w:lang w:eastAsia="zh-CN" w:bidi="hi-IN"/>
        </w:rPr>
        <w:t xml:space="preserve">  </w:t>
      </w:r>
      <w:r>
        <w:rPr>
          <w:rFonts w:ascii="Times New Roman" w:eastAsia="Noto Sans CJK SC Regular" w:hAnsi="Times New Roman" w:cs="Lohit Devanagari"/>
          <w:kern w:val="2"/>
          <w:lang w:eastAsia="zh-CN" w:bidi="hi-IN"/>
        </w:rPr>
        <w:t xml:space="preserve">Przedsięwzięcie nie będzie źródłem emisji gazów cieplarnianych. Inwestycja nie spowoduje także zajęcia terenów zdolnych do pochłaniania tego rodzaju gazów. Brak jest natomiast możliwości jednoznacznego wykluczenia jej wpływu na możliwość retencji wód powodziowych na tych terenach czy różnorodności biologicznej na tym obszarze. </w:t>
      </w:r>
      <w:r>
        <w:rPr>
          <w:rFonts w:ascii="Times New Roman" w:hAnsi="Times New Roman" w:cs="Times New Roman"/>
        </w:rPr>
        <w:t xml:space="preserve">Brak jest podstaw do stwierdzenia ryzyka poważnej awarii lub katastrofy naturalnej i budowlanej. </w:t>
      </w:r>
    </w:p>
    <w:p w14:paraId="3A783CFF" w14:textId="77777777" w:rsidR="00F51C1D" w:rsidRDefault="00000000">
      <w:pPr>
        <w:spacing w:line="240" w:lineRule="auto"/>
        <w:jc w:val="both"/>
        <w:rPr>
          <w:color w:val="C9211E"/>
        </w:rPr>
      </w:pPr>
      <w:r>
        <w:rPr>
          <w:rFonts w:ascii="Times New Roman" w:hAnsi="Times New Roman" w:cs="Times New Roman"/>
          <w:color w:val="C9211E"/>
        </w:rPr>
        <w:tab/>
      </w:r>
      <w:r>
        <w:rPr>
          <w:rFonts w:ascii="Times New Roman" w:hAnsi="Times New Roman"/>
        </w:rPr>
        <w:t xml:space="preserve">Po zapoznaniu się z wnioskiem, kartą informacyjną przedsięwzięcia, opinią Regionalnego Dyrektora Ochrony Środowiska w Gorzowie Wielkopolskim, Państwowego Powiatowego Inspektora Sanitarnego w Zielonej Górze oraz Dyrektora PGW Wody Polskie Zarządu Zlewni w Lwówku Śląskim, ze względu na łączne uwarunkowania, o których mowa w art. 63 ust. 1 ustawy </w:t>
      </w:r>
      <w:proofErr w:type="spellStart"/>
      <w:r>
        <w:rPr>
          <w:rFonts w:ascii="Times New Roman" w:hAnsi="Times New Roman"/>
        </w:rPr>
        <w:t>ooś</w:t>
      </w:r>
      <w:proofErr w:type="spellEnd"/>
      <w:r>
        <w:rPr>
          <w:rFonts w:ascii="Times New Roman" w:hAnsi="Times New Roman"/>
        </w:rPr>
        <w:t xml:space="preserve">, Burmistrz Nowogrodu Bobrzańskiego stwierdził istnienie obowiązku przeprowadzenia oceny oddziaływania na środowisko dla planowanego przedsięwzięcia oraz uznał za zasadne nałożyć obowiązek sporządzenia raportu o oddziaływaniu na środowisko w zakresie przewidzianym w art. 66 ustawy o </w:t>
      </w:r>
      <w:proofErr w:type="spellStart"/>
      <w:r>
        <w:rPr>
          <w:rFonts w:ascii="Times New Roman" w:hAnsi="Times New Roman"/>
        </w:rPr>
        <w:t>ooś</w:t>
      </w:r>
      <w:proofErr w:type="spellEnd"/>
      <w:r>
        <w:rPr>
          <w:rFonts w:ascii="Times New Roman" w:hAnsi="Times New Roman"/>
        </w:rPr>
        <w:t>.</w:t>
      </w:r>
    </w:p>
    <w:p w14:paraId="31C8C660" w14:textId="77777777" w:rsidR="00F51C1D" w:rsidRDefault="00F51C1D">
      <w:pPr>
        <w:spacing w:line="240" w:lineRule="auto"/>
        <w:jc w:val="both"/>
        <w:rPr>
          <w:rFonts w:ascii="Times New Roman" w:hAnsi="Times New Roman"/>
          <w:color w:val="C9211E"/>
        </w:rPr>
      </w:pPr>
    </w:p>
    <w:p w14:paraId="72F951B0" w14:textId="77777777" w:rsidR="00290268" w:rsidRDefault="00290268" w:rsidP="00290268">
      <w:pPr>
        <w:spacing w:after="0" w:line="240" w:lineRule="auto"/>
        <w:jc w:val="center"/>
        <w:rPr>
          <w:rFonts w:ascii="Times New Roman" w:hAnsi="Times New Roman" w:cs="Times New Roman"/>
          <w:b/>
          <w:color w:val="FF0000"/>
        </w:rPr>
      </w:pPr>
      <w:r>
        <w:rPr>
          <w:rFonts w:ascii="Times New Roman" w:hAnsi="Times New Roman" w:cs="Times New Roman"/>
          <w:sz w:val="20"/>
          <w:szCs w:val="20"/>
        </w:rPr>
        <w:t xml:space="preserve">                                                                                                                        </w:t>
      </w:r>
      <w:r>
        <w:rPr>
          <w:rFonts w:ascii="Times New Roman" w:hAnsi="Times New Roman" w:cs="Times New Roman"/>
          <w:b/>
          <w:color w:val="FF0000"/>
        </w:rPr>
        <w:t>Z up. Burmistrza</w:t>
      </w:r>
    </w:p>
    <w:p w14:paraId="61BFC3EC" w14:textId="77777777" w:rsidR="00290268" w:rsidRDefault="00290268" w:rsidP="00290268">
      <w:pPr>
        <w:spacing w:after="0" w:line="360" w:lineRule="auto"/>
        <w:jc w:val="center"/>
        <w:rPr>
          <w:b/>
          <w:color w:val="FF0000"/>
        </w:rPr>
      </w:pPr>
      <w:r>
        <w:rPr>
          <w:rFonts w:ascii="Times New Roman" w:hAnsi="Times New Roman" w:cs="Times New Roman"/>
          <w:b/>
          <w:color w:val="FF0000"/>
        </w:rPr>
        <w:t xml:space="preserve">                                                                                                             mgr inż. Mirosław Walencik</w:t>
      </w:r>
    </w:p>
    <w:p w14:paraId="14CC1FA9" w14:textId="77777777" w:rsidR="00290268" w:rsidRDefault="00290268" w:rsidP="00290268">
      <w:pPr>
        <w:spacing w:after="0" w:line="360" w:lineRule="auto"/>
        <w:jc w:val="center"/>
        <w:rPr>
          <w:rFonts w:ascii="Times New Roman" w:hAnsi="Times New Roman" w:cs="Times New Roman"/>
          <w:b/>
          <w:color w:val="FF0000"/>
        </w:rPr>
      </w:pPr>
      <w:r>
        <w:rPr>
          <w:rFonts w:ascii="Times New Roman" w:hAnsi="Times New Roman" w:cs="Times New Roman"/>
          <w:b/>
          <w:color w:val="FF0000"/>
        </w:rPr>
        <w:t xml:space="preserve">                                                                                                               Zastępca Burmistrza</w:t>
      </w:r>
    </w:p>
    <w:p w14:paraId="7E6F0C24" w14:textId="77777777" w:rsidR="00F51C1D" w:rsidRDefault="00F51C1D">
      <w:pPr>
        <w:spacing w:line="240" w:lineRule="auto"/>
        <w:jc w:val="both"/>
        <w:rPr>
          <w:rFonts w:ascii="Times New Roman" w:hAnsi="Times New Roman"/>
          <w:color w:val="C9211E"/>
        </w:rPr>
      </w:pPr>
    </w:p>
    <w:p w14:paraId="0531B4EC" w14:textId="77777777" w:rsidR="00F51C1D" w:rsidRDefault="00F51C1D">
      <w:pPr>
        <w:spacing w:line="240" w:lineRule="auto"/>
        <w:jc w:val="both"/>
        <w:rPr>
          <w:rFonts w:ascii="Times New Roman" w:hAnsi="Times New Roman"/>
          <w:color w:val="C9211E"/>
        </w:rPr>
      </w:pPr>
    </w:p>
    <w:p w14:paraId="5EF66E51" w14:textId="77777777" w:rsidR="00F51C1D" w:rsidRDefault="00000000">
      <w:pPr>
        <w:jc w:val="center"/>
        <w:rPr>
          <w:rFonts w:ascii="Times New Roman" w:hAnsi="Times New Roman"/>
          <w:b/>
          <w:bCs/>
          <w:sz w:val="16"/>
          <w:szCs w:val="16"/>
        </w:rPr>
      </w:pPr>
      <w:r>
        <w:rPr>
          <w:rFonts w:ascii="Times New Roman" w:hAnsi="Times New Roman"/>
          <w:b/>
          <w:bCs/>
          <w:sz w:val="16"/>
          <w:szCs w:val="16"/>
        </w:rPr>
        <w:t>POUCZENIE</w:t>
      </w:r>
    </w:p>
    <w:p w14:paraId="2EF2F630" w14:textId="77777777" w:rsidR="00F51C1D" w:rsidRDefault="00000000">
      <w:pPr>
        <w:jc w:val="both"/>
        <w:rPr>
          <w:rFonts w:ascii="Times New Roman" w:hAnsi="Times New Roman"/>
          <w:sz w:val="16"/>
          <w:szCs w:val="16"/>
        </w:rPr>
      </w:pPr>
      <w:r>
        <w:rPr>
          <w:rFonts w:ascii="Times New Roman" w:hAnsi="Times New Roman"/>
          <w:sz w:val="16"/>
          <w:szCs w:val="16"/>
        </w:rPr>
        <w:t>Na niniejsze postanowienie, zgodnie z art. 65 ust. 2 ustawy z dnia 3 października 2008 r. o udostępnianiu informacji o środowisku i jego ochronie, udziale społeczeństwa w ochronie środowiska oraz o ocenach oddziaływania na środowisko (</w:t>
      </w:r>
      <w:proofErr w:type="spellStart"/>
      <w:r>
        <w:rPr>
          <w:rFonts w:ascii="Times New Roman" w:hAnsi="Times New Roman"/>
          <w:sz w:val="16"/>
          <w:szCs w:val="16"/>
        </w:rPr>
        <w:t>t.j</w:t>
      </w:r>
      <w:proofErr w:type="spellEnd"/>
      <w:r>
        <w:rPr>
          <w:rFonts w:ascii="Times New Roman" w:hAnsi="Times New Roman"/>
          <w:sz w:val="16"/>
          <w:szCs w:val="16"/>
        </w:rPr>
        <w:t>. Dz. U. Z 2022 r. poz. 1029 ze zm.) przysługuje zażalenie. Zażalenie należy wnieść do Samorządowego Kolegium Odwoławczego w Zielonej Górze za pośrednictwem tutejszego organu w terminie 7 dni od dnia otrzymania niniejszego postanowienia.</w:t>
      </w:r>
    </w:p>
    <w:p w14:paraId="39DB6455" w14:textId="77777777" w:rsidR="00F51C1D" w:rsidRDefault="00000000">
      <w:pPr>
        <w:jc w:val="both"/>
        <w:rPr>
          <w:rFonts w:ascii="Times New Roman" w:eastAsia="Noto Sans CJK SC Regular" w:hAnsi="Times New Roman" w:cs="Lohit Devanagari"/>
          <w:kern w:val="2"/>
          <w:sz w:val="16"/>
          <w:szCs w:val="16"/>
          <w:u w:val="single"/>
          <w:lang w:eastAsia="zh-CN" w:bidi="hi-IN"/>
        </w:rPr>
      </w:pPr>
      <w:r>
        <w:rPr>
          <w:rFonts w:ascii="Times New Roman" w:eastAsia="Noto Sans CJK SC Regular" w:hAnsi="Times New Roman" w:cs="Lohit Devanagari"/>
          <w:kern w:val="2"/>
          <w:sz w:val="16"/>
          <w:szCs w:val="16"/>
          <w:u w:val="single"/>
          <w:lang w:eastAsia="zh-CN" w:bidi="hi-IN"/>
        </w:rPr>
        <w:lastRenderedPageBreak/>
        <w:t>Otrzymują:</w:t>
      </w:r>
    </w:p>
    <w:p w14:paraId="30A4E300" w14:textId="77777777" w:rsidR="00F51C1D" w:rsidRDefault="00000000">
      <w:pPr>
        <w:pStyle w:val="Akapitzlist"/>
        <w:numPr>
          <w:ilvl w:val="0"/>
          <w:numId w:val="1"/>
        </w:numPr>
        <w:jc w:val="both"/>
        <w:rPr>
          <w:rFonts w:ascii="Times New Roman" w:eastAsia="Noto Sans CJK SC Regular" w:hAnsi="Times New Roman" w:cs="Lohit Devanagari"/>
          <w:kern w:val="2"/>
          <w:sz w:val="16"/>
          <w:szCs w:val="16"/>
          <w:lang w:eastAsia="zh-CN" w:bidi="hi-IN"/>
        </w:rPr>
      </w:pPr>
      <w:proofErr w:type="spellStart"/>
      <w:r>
        <w:rPr>
          <w:rFonts w:ascii="Times New Roman" w:eastAsia="Noto Sans CJK SC Regular" w:hAnsi="Times New Roman" w:cs="Lohit Devanagari"/>
          <w:kern w:val="2"/>
          <w:sz w:val="16"/>
          <w:szCs w:val="16"/>
          <w:lang w:eastAsia="zh-CN" w:bidi="hi-IN"/>
        </w:rPr>
        <w:t>Ineex</w:t>
      </w:r>
      <w:proofErr w:type="spellEnd"/>
      <w:r>
        <w:rPr>
          <w:rFonts w:ascii="Times New Roman" w:eastAsia="Noto Sans CJK SC Regular" w:hAnsi="Times New Roman" w:cs="Lohit Devanagari"/>
          <w:kern w:val="2"/>
          <w:sz w:val="16"/>
          <w:szCs w:val="16"/>
          <w:lang w:eastAsia="zh-CN" w:bidi="hi-IN"/>
        </w:rPr>
        <w:t xml:space="preserve"> Green Sp. z o.o.</w:t>
      </w:r>
    </w:p>
    <w:p w14:paraId="40A553D6" w14:textId="77777777" w:rsidR="00F51C1D" w:rsidRDefault="00000000">
      <w:pPr>
        <w:pStyle w:val="Akapitzlist"/>
        <w:jc w:val="both"/>
        <w:rPr>
          <w:rFonts w:ascii="Times New Roman" w:eastAsia="Noto Sans CJK SC Regular" w:hAnsi="Times New Roman" w:cs="Lohit Devanagari"/>
          <w:kern w:val="2"/>
          <w:sz w:val="16"/>
          <w:szCs w:val="16"/>
          <w:lang w:eastAsia="zh-CN" w:bidi="hi-IN"/>
        </w:rPr>
      </w:pPr>
      <w:r>
        <w:rPr>
          <w:rFonts w:ascii="Times New Roman" w:eastAsia="Noto Sans CJK SC Regular" w:hAnsi="Times New Roman" w:cs="Lohit Devanagari"/>
          <w:kern w:val="2"/>
          <w:sz w:val="16"/>
          <w:szCs w:val="16"/>
          <w:lang w:eastAsia="zh-CN" w:bidi="hi-IN"/>
        </w:rPr>
        <w:t>ul. Pasterska 2b</w:t>
      </w:r>
    </w:p>
    <w:p w14:paraId="218E149B" w14:textId="77777777" w:rsidR="00F51C1D" w:rsidRDefault="00000000">
      <w:pPr>
        <w:pStyle w:val="Akapitzlist"/>
        <w:jc w:val="both"/>
        <w:rPr>
          <w:rFonts w:ascii="Times New Roman" w:eastAsia="Noto Sans CJK SC Regular" w:hAnsi="Times New Roman" w:cs="Lohit Devanagari"/>
          <w:kern w:val="2"/>
          <w:sz w:val="16"/>
          <w:szCs w:val="16"/>
          <w:lang w:eastAsia="zh-CN" w:bidi="hi-IN"/>
        </w:rPr>
      </w:pPr>
      <w:r>
        <w:rPr>
          <w:rFonts w:ascii="Times New Roman" w:eastAsia="Noto Sans CJK SC Regular" w:hAnsi="Times New Roman" w:cs="Lohit Devanagari"/>
          <w:kern w:val="2"/>
          <w:sz w:val="16"/>
          <w:szCs w:val="16"/>
          <w:lang w:eastAsia="zh-CN" w:bidi="hi-IN"/>
        </w:rPr>
        <w:t>50-226 Wrocław</w:t>
      </w:r>
    </w:p>
    <w:p w14:paraId="62B94C4F" w14:textId="77777777" w:rsidR="00F51C1D" w:rsidRDefault="00000000">
      <w:pPr>
        <w:pStyle w:val="Akapitzlist"/>
        <w:numPr>
          <w:ilvl w:val="0"/>
          <w:numId w:val="1"/>
        </w:numPr>
        <w:jc w:val="both"/>
        <w:rPr>
          <w:rFonts w:ascii="Times New Roman" w:eastAsia="Noto Sans CJK SC Regular" w:hAnsi="Times New Roman" w:cs="Lohit Devanagari"/>
          <w:kern w:val="2"/>
          <w:sz w:val="16"/>
          <w:szCs w:val="16"/>
          <w:lang w:eastAsia="zh-CN" w:bidi="hi-IN"/>
        </w:rPr>
      </w:pPr>
      <w:r>
        <w:rPr>
          <w:rFonts w:ascii="Times New Roman" w:eastAsia="Noto Sans CJK SC Regular" w:hAnsi="Times New Roman" w:cs="Lohit Devanagari"/>
          <w:kern w:val="2"/>
          <w:sz w:val="16"/>
          <w:szCs w:val="16"/>
          <w:lang w:eastAsia="zh-CN" w:bidi="hi-IN"/>
        </w:rPr>
        <w:t>Nadleśnictwo Krzystkowice</w:t>
      </w:r>
    </w:p>
    <w:p w14:paraId="79B14FE8" w14:textId="77777777" w:rsidR="00F51C1D" w:rsidRDefault="00000000">
      <w:pPr>
        <w:pStyle w:val="Akapitzlist"/>
        <w:jc w:val="both"/>
        <w:rPr>
          <w:rFonts w:ascii="Times New Roman" w:eastAsia="Noto Sans CJK SC Regular" w:hAnsi="Times New Roman" w:cs="Lohit Devanagari"/>
          <w:kern w:val="2"/>
          <w:sz w:val="16"/>
          <w:szCs w:val="16"/>
          <w:lang w:eastAsia="zh-CN" w:bidi="hi-IN"/>
        </w:rPr>
      </w:pPr>
      <w:r>
        <w:rPr>
          <w:rFonts w:ascii="Times New Roman" w:eastAsia="Noto Sans CJK SC Regular" w:hAnsi="Times New Roman" w:cs="Lohit Devanagari"/>
          <w:kern w:val="2"/>
          <w:sz w:val="16"/>
          <w:szCs w:val="16"/>
          <w:lang w:eastAsia="zh-CN" w:bidi="hi-IN"/>
        </w:rPr>
        <w:t>ul. Leśna 1</w:t>
      </w:r>
    </w:p>
    <w:p w14:paraId="225375FD" w14:textId="77777777" w:rsidR="00F51C1D" w:rsidRDefault="00000000">
      <w:pPr>
        <w:pStyle w:val="Akapitzlist"/>
        <w:jc w:val="both"/>
        <w:rPr>
          <w:rFonts w:ascii="Times New Roman" w:eastAsia="Noto Sans CJK SC Regular" w:hAnsi="Times New Roman" w:cs="Lohit Devanagari"/>
          <w:kern w:val="2"/>
          <w:sz w:val="16"/>
          <w:szCs w:val="16"/>
          <w:lang w:eastAsia="zh-CN" w:bidi="hi-IN"/>
        </w:rPr>
      </w:pPr>
      <w:r>
        <w:rPr>
          <w:rFonts w:ascii="Times New Roman" w:eastAsia="Noto Sans CJK SC Regular" w:hAnsi="Times New Roman" w:cs="Lohit Devanagari"/>
          <w:kern w:val="2"/>
          <w:sz w:val="16"/>
          <w:szCs w:val="16"/>
          <w:lang w:eastAsia="zh-CN" w:bidi="hi-IN"/>
        </w:rPr>
        <w:t>66-010 Nowogród Bobrzański</w:t>
      </w:r>
    </w:p>
    <w:p w14:paraId="76E22461" w14:textId="77777777" w:rsidR="00F51C1D" w:rsidRDefault="00000000">
      <w:pPr>
        <w:pStyle w:val="Akapitzlist"/>
        <w:numPr>
          <w:ilvl w:val="0"/>
          <w:numId w:val="1"/>
        </w:numPr>
        <w:jc w:val="both"/>
        <w:rPr>
          <w:rFonts w:ascii="Times New Roman" w:eastAsia="Noto Sans CJK SC Regular" w:hAnsi="Times New Roman" w:cs="Lohit Devanagari"/>
          <w:kern w:val="2"/>
          <w:sz w:val="16"/>
          <w:szCs w:val="16"/>
          <w:lang w:eastAsia="zh-CN" w:bidi="hi-IN"/>
        </w:rPr>
      </w:pPr>
      <w:r>
        <w:rPr>
          <w:rFonts w:ascii="Times New Roman" w:eastAsia="Noto Sans CJK SC Regular" w:hAnsi="Times New Roman" w:cs="Lohit Devanagari"/>
          <w:kern w:val="2"/>
          <w:sz w:val="16"/>
          <w:szCs w:val="16"/>
          <w:lang w:eastAsia="zh-CN" w:bidi="hi-IN"/>
        </w:rPr>
        <w:t>Strony postępowania poprzez obwieszczenie zgodnie z art. 49 k.p.a.</w:t>
      </w:r>
    </w:p>
    <w:p w14:paraId="5C9A834A" w14:textId="77777777" w:rsidR="00F51C1D" w:rsidRDefault="00000000">
      <w:pPr>
        <w:pStyle w:val="Akapitzlist"/>
        <w:numPr>
          <w:ilvl w:val="0"/>
          <w:numId w:val="1"/>
        </w:numPr>
        <w:jc w:val="both"/>
        <w:rPr>
          <w:rFonts w:ascii="Times New Roman" w:eastAsia="Noto Sans CJK SC Regular" w:hAnsi="Times New Roman" w:cs="Lohit Devanagari"/>
          <w:kern w:val="2"/>
          <w:sz w:val="16"/>
          <w:szCs w:val="16"/>
          <w:lang w:eastAsia="zh-CN" w:bidi="hi-IN"/>
        </w:rPr>
      </w:pPr>
      <w:r>
        <w:rPr>
          <w:rFonts w:ascii="Times New Roman" w:eastAsia="Noto Sans CJK SC Regular" w:hAnsi="Times New Roman" w:cs="Lohit Devanagari"/>
          <w:kern w:val="2"/>
          <w:sz w:val="16"/>
          <w:szCs w:val="16"/>
          <w:lang w:eastAsia="zh-CN" w:bidi="hi-IN"/>
        </w:rPr>
        <w:t>A/a</w:t>
      </w:r>
    </w:p>
    <w:p w14:paraId="2EAB9702" w14:textId="77777777" w:rsidR="00F51C1D" w:rsidRDefault="00000000">
      <w:pPr>
        <w:jc w:val="both"/>
        <w:rPr>
          <w:rFonts w:ascii="Times New Roman" w:eastAsia="Noto Sans CJK SC Regular" w:hAnsi="Times New Roman" w:cs="Lohit Devanagari"/>
          <w:kern w:val="2"/>
          <w:sz w:val="16"/>
          <w:szCs w:val="16"/>
          <w:u w:val="single"/>
          <w:lang w:eastAsia="zh-CN" w:bidi="hi-IN"/>
        </w:rPr>
      </w:pPr>
      <w:r>
        <w:rPr>
          <w:rFonts w:ascii="Times New Roman" w:eastAsia="Noto Sans CJK SC Regular" w:hAnsi="Times New Roman" w:cs="Lohit Devanagari"/>
          <w:kern w:val="2"/>
          <w:sz w:val="16"/>
          <w:szCs w:val="16"/>
          <w:u w:val="single"/>
          <w:lang w:eastAsia="zh-CN" w:bidi="hi-IN"/>
        </w:rPr>
        <w:t>Do wiadomości:</w:t>
      </w:r>
    </w:p>
    <w:p w14:paraId="07CCFB80" w14:textId="77777777" w:rsidR="00F51C1D" w:rsidRDefault="00000000">
      <w:pPr>
        <w:pStyle w:val="Akapitzlist"/>
        <w:numPr>
          <w:ilvl w:val="0"/>
          <w:numId w:val="2"/>
        </w:numPr>
        <w:spacing w:after="0"/>
        <w:rPr>
          <w:rFonts w:ascii="Times New Roman" w:hAnsi="Times New Roman" w:cs="Times New Roman"/>
          <w:sz w:val="16"/>
          <w:szCs w:val="16"/>
        </w:rPr>
      </w:pPr>
      <w:r>
        <w:rPr>
          <w:rFonts w:ascii="Times New Roman" w:hAnsi="Times New Roman" w:cs="Times New Roman"/>
          <w:sz w:val="16"/>
          <w:szCs w:val="16"/>
        </w:rPr>
        <w:t>Regionalny Dyrektor Ochrony Środowiska</w:t>
      </w:r>
    </w:p>
    <w:p w14:paraId="5DD913D2" w14:textId="77777777" w:rsidR="00F51C1D" w:rsidRDefault="00000000">
      <w:pPr>
        <w:pStyle w:val="Akapitzlist"/>
        <w:spacing w:after="0"/>
        <w:rPr>
          <w:rFonts w:ascii="Times New Roman" w:hAnsi="Times New Roman" w:cs="Times New Roman"/>
          <w:sz w:val="16"/>
          <w:szCs w:val="16"/>
        </w:rPr>
      </w:pPr>
      <w:r>
        <w:rPr>
          <w:rFonts w:ascii="Times New Roman" w:hAnsi="Times New Roman" w:cs="Times New Roman"/>
          <w:sz w:val="16"/>
          <w:szCs w:val="16"/>
        </w:rPr>
        <w:t>ul. Jagiellończyka 13</w:t>
      </w:r>
    </w:p>
    <w:p w14:paraId="6BDA5393" w14:textId="77777777" w:rsidR="00F51C1D" w:rsidRDefault="00000000">
      <w:pPr>
        <w:pStyle w:val="Akapitzlist"/>
        <w:spacing w:after="0"/>
        <w:rPr>
          <w:rFonts w:ascii="Times New Roman" w:hAnsi="Times New Roman" w:cs="Times New Roman"/>
          <w:sz w:val="16"/>
          <w:szCs w:val="16"/>
        </w:rPr>
      </w:pPr>
      <w:r>
        <w:rPr>
          <w:rFonts w:ascii="Times New Roman" w:hAnsi="Times New Roman" w:cs="Times New Roman"/>
          <w:sz w:val="16"/>
          <w:szCs w:val="16"/>
        </w:rPr>
        <w:t>66-400 Gorzów Wielkopolski</w:t>
      </w:r>
    </w:p>
    <w:p w14:paraId="31C52B02" w14:textId="77777777" w:rsidR="00F51C1D" w:rsidRDefault="00000000">
      <w:pPr>
        <w:pStyle w:val="Akapitzlist"/>
        <w:numPr>
          <w:ilvl w:val="0"/>
          <w:numId w:val="2"/>
        </w:numPr>
        <w:spacing w:after="0"/>
        <w:rPr>
          <w:rFonts w:ascii="Times New Roman" w:hAnsi="Times New Roman" w:cs="Times New Roman"/>
          <w:sz w:val="16"/>
          <w:szCs w:val="16"/>
        </w:rPr>
      </w:pPr>
      <w:r>
        <w:rPr>
          <w:rFonts w:ascii="Times New Roman" w:hAnsi="Times New Roman" w:cs="Times New Roman"/>
          <w:sz w:val="16"/>
          <w:szCs w:val="16"/>
        </w:rPr>
        <w:t>Państwowy Powiatowy Inspektor Sanitarny</w:t>
      </w:r>
    </w:p>
    <w:p w14:paraId="740FC843" w14:textId="77777777" w:rsidR="00F51C1D" w:rsidRDefault="00000000">
      <w:pPr>
        <w:pStyle w:val="Akapitzlist"/>
        <w:spacing w:after="0"/>
        <w:rPr>
          <w:rFonts w:ascii="Times New Roman" w:hAnsi="Times New Roman" w:cs="Times New Roman"/>
          <w:sz w:val="16"/>
          <w:szCs w:val="16"/>
        </w:rPr>
      </w:pPr>
      <w:r>
        <w:rPr>
          <w:rFonts w:ascii="Times New Roman" w:hAnsi="Times New Roman" w:cs="Times New Roman"/>
          <w:sz w:val="16"/>
          <w:szCs w:val="16"/>
        </w:rPr>
        <w:t>ul. Jasna 10</w:t>
      </w:r>
    </w:p>
    <w:p w14:paraId="1C8298B2" w14:textId="77777777" w:rsidR="00F51C1D" w:rsidRDefault="00000000">
      <w:pPr>
        <w:pStyle w:val="Akapitzlist"/>
        <w:spacing w:after="0"/>
        <w:rPr>
          <w:rFonts w:ascii="Times New Roman" w:hAnsi="Times New Roman" w:cs="Times New Roman"/>
          <w:sz w:val="16"/>
          <w:szCs w:val="16"/>
        </w:rPr>
      </w:pPr>
      <w:r>
        <w:rPr>
          <w:rFonts w:ascii="Times New Roman" w:hAnsi="Times New Roman" w:cs="Times New Roman"/>
          <w:sz w:val="16"/>
          <w:szCs w:val="16"/>
        </w:rPr>
        <w:t>65-470 Zielona Góra</w:t>
      </w:r>
    </w:p>
    <w:p w14:paraId="59289CEF" w14:textId="77777777" w:rsidR="00F51C1D" w:rsidRDefault="00000000">
      <w:pPr>
        <w:pStyle w:val="Akapitzlist"/>
        <w:numPr>
          <w:ilvl w:val="0"/>
          <w:numId w:val="2"/>
        </w:numPr>
        <w:spacing w:after="0"/>
        <w:rPr>
          <w:rFonts w:ascii="Times New Roman" w:hAnsi="Times New Roman" w:cs="Times New Roman"/>
          <w:sz w:val="16"/>
          <w:szCs w:val="16"/>
        </w:rPr>
      </w:pPr>
      <w:r>
        <w:rPr>
          <w:rFonts w:ascii="Times New Roman" w:hAnsi="Times New Roman" w:cs="Times New Roman"/>
          <w:sz w:val="16"/>
          <w:szCs w:val="16"/>
        </w:rPr>
        <w:t>Państwowe Gospodarstwo Wodne Wody Polskie</w:t>
      </w:r>
    </w:p>
    <w:p w14:paraId="0619667A" w14:textId="77777777" w:rsidR="00F51C1D" w:rsidRDefault="00000000">
      <w:pPr>
        <w:pStyle w:val="Akapitzlist"/>
        <w:spacing w:after="0"/>
        <w:rPr>
          <w:rFonts w:ascii="Times New Roman" w:hAnsi="Times New Roman" w:cs="Times New Roman"/>
          <w:sz w:val="16"/>
          <w:szCs w:val="16"/>
        </w:rPr>
      </w:pPr>
      <w:r>
        <w:rPr>
          <w:rFonts w:ascii="Times New Roman" w:hAnsi="Times New Roman" w:cs="Times New Roman"/>
          <w:sz w:val="16"/>
          <w:szCs w:val="16"/>
        </w:rPr>
        <w:t>Zarząd Zlewni w Lwówku Śląskim</w:t>
      </w:r>
    </w:p>
    <w:p w14:paraId="177D0E25" w14:textId="77777777" w:rsidR="00F51C1D" w:rsidRDefault="00000000">
      <w:pPr>
        <w:pStyle w:val="Akapitzlist"/>
        <w:spacing w:after="0"/>
        <w:rPr>
          <w:rFonts w:ascii="Times New Roman" w:hAnsi="Times New Roman" w:cs="Times New Roman"/>
          <w:sz w:val="16"/>
          <w:szCs w:val="16"/>
        </w:rPr>
      </w:pPr>
      <w:r>
        <w:rPr>
          <w:rFonts w:ascii="Times New Roman" w:hAnsi="Times New Roman" w:cs="Times New Roman"/>
          <w:sz w:val="16"/>
          <w:szCs w:val="16"/>
        </w:rPr>
        <w:t>ul. Jaśkiewicza 24</w:t>
      </w:r>
    </w:p>
    <w:p w14:paraId="33946148" w14:textId="77777777" w:rsidR="00F51C1D" w:rsidRDefault="00000000">
      <w:pPr>
        <w:pStyle w:val="Akapitzlist"/>
        <w:spacing w:after="0"/>
        <w:rPr>
          <w:rFonts w:ascii="Times New Roman" w:hAnsi="Times New Roman" w:cs="Times New Roman"/>
          <w:sz w:val="16"/>
          <w:szCs w:val="16"/>
        </w:rPr>
      </w:pPr>
      <w:r>
        <w:rPr>
          <w:rFonts w:ascii="Times New Roman" w:hAnsi="Times New Roman" w:cs="Times New Roman"/>
          <w:sz w:val="16"/>
          <w:szCs w:val="16"/>
        </w:rPr>
        <w:t>59-600 Lwówek Śląski</w:t>
      </w:r>
    </w:p>
    <w:p w14:paraId="5E64D7B4" w14:textId="77777777" w:rsidR="00F51C1D" w:rsidRDefault="00F51C1D">
      <w:pPr>
        <w:jc w:val="both"/>
        <w:rPr>
          <w:rFonts w:ascii="Times New Roman" w:eastAsia="Noto Sans CJK SC Regular" w:hAnsi="Times New Roman" w:cs="Lohit Devanagari"/>
          <w:kern w:val="2"/>
          <w:sz w:val="16"/>
          <w:szCs w:val="16"/>
          <w:lang w:eastAsia="zh-CN" w:bidi="hi-IN"/>
        </w:rPr>
      </w:pPr>
    </w:p>
    <w:p w14:paraId="5DB3F858" w14:textId="77777777" w:rsidR="00F51C1D" w:rsidRDefault="00F51C1D">
      <w:pPr>
        <w:jc w:val="both"/>
        <w:rPr>
          <w:rFonts w:ascii="Times New Roman" w:eastAsia="Noto Sans CJK SC Regular" w:hAnsi="Times New Roman" w:cs="Lohit Devanagari"/>
          <w:kern w:val="2"/>
          <w:sz w:val="16"/>
          <w:szCs w:val="16"/>
          <w:lang w:eastAsia="zh-CN" w:bidi="hi-IN"/>
        </w:rPr>
      </w:pPr>
    </w:p>
    <w:p w14:paraId="5C4B2DA5" w14:textId="77777777" w:rsidR="00F51C1D" w:rsidRDefault="00F51C1D">
      <w:pPr>
        <w:jc w:val="both"/>
        <w:rPr>
          <w:rFonts w:ascii="Times New Roman" w:eastAsia="Noto Sans CJK SC Regular" w:hAnsi="Times New Roman" w:cs="Lohit Devanagari"/>
          <w:kern w:val="2"/>
          <w:sz w:val="16"/>
          <w:szCs w:val="16"/>
          <w:lang w:eastAsia="zh-CN" w:bidi="hi-IN"/>
        </w:rPr>
      </w:pPr>
    </w:p>
    <w:p w14:paraId="4B22FF70" w14:textId="77777777" w:rsidR="00F51C1D" w:rsidRDefault="00F51C1D">
      <w:pPr>
        <w:spacing w:after="0" w:line="240" w:lineRule="auto"/>
        <w:jc w:val="both"/>
        <w:rPr>
          <w:rFonts w:ascii="Times New Roman" w:eastAsia="Noto Sans CJK SC Regular" w:hAnsi="Times New Roman" w:cs="Times New Roman"/>
          <w:kern w:val="2"/>
          <w:lang w:eastAsia="zh-CN" w:bidi="hi-IN"/>
        </w:rPr>
      </w:pPr>
    </w:p>
    <w:p w14:paraId="18AE4621" w14:textId="77777777" w:rsidR="00F51C1D" w:rsidRDefault="00F51C1D">
      <w:pPr>
        <w:spacing w:after="0" w:line="240" w:lineRule="auto"/>
        <w:jc w:val="both"/>
        <w:rPr>
          <w:rFonts w:ascii="CIDFont+F1" w:hAnsi="CIDFont+F1" w:cs="CIDFont+F1"/>
        </w:rPr>
      </w:pPr>
    </w:p>
    <w:p w14:paraId="70C51CAD" w14:textId="77777777" w:rsidR="00F51C1D" w:rsidRDefault="00F51C1D">
      <w:pPr>
        <w:spacing w:after="0" w:line="240" w:lineRule="auto"/>
        <w:jc w:val="both"/>
        <w:rPr>
          <w:rFonts w:ascii="Times New Roman" w:eastAsia="Noto Sans CJK SC Regular" w:hAnsi="Times New Roman" w:cs="Times New Roman"/>
          <w:b/>
          <w:bCs/>
          <w:kern w:val="2"/>
          <w:lang w:eastAsia="zh-CN" w:bidi="hi-IN"/>
        </w:rPr>
      </w:pPr>
    </w:p>
    <w:p w14:paraId="54EA1DFF" w14:textId="77777777" w:rsidR="00F51C1D" w:rsidRDefault="00F51C1D">
      <w:pPr>
        <w:pStyle w:val="Akapitzlist"/>
        <w:spacing w:after="0" w:line="240" w:lineRule="auto"/>
        <w:jc w:val="both"/>
        <w:rPr>
          <w:rFonts w:ascii="Times New Roman" w:eastAsia="Noto Sans CJK SC Regular" w:hAnsi="Times New Roman" w:cs="Times New Roman"/>
          <w:b/>
          <w:bCs/>
          <w:kern w:val="2"/>
          <w:lang w:eastAsia="zh-CN" w:bidi="hi-IN"/>
        </w:rPr>
      </w:pPr>
    </w:p>
    <w:p w14:paraId="348D90EF" w14:textId="77777777" w:rsidR="00F51C1D" w:rsidRDefault="00F51C1D">
      <w:pPr>
        <w:pStyle w:val="Akapitzlist"/>
        <w:spacing w:after="0" w:line="240" w:lineRule="auto"/>
        <w:jc w:val="both"/>
        <w:rPr>
          <w:rFonts w:ascii="Times New Roman" w:eastAsia="Noto Sans CJK SC Regular" w:hAnsi="Times New Roman" w:cs="Times New Roman"/>
          <w:b/>
          <w:bCs/>
          <w:kern w:val="2"/>
          <w:lang w:eastAsia="zh-CN" w:bidi="hi-IN"/>
        </w:rPr>
      </w:pPr>
    </w:p>
    <w:p w14:paraId="35FDFDBC" w14:textId="77777777" w:rsidR="00F51C1D" w:rsidRDefault="00F51C1D">
      <w:pPr>
        <w:jc w:val="both"/>
        <w:rPr>
          <w:rFonts w:ascii="Times New Roman" w:hAnsi="Times New Roman" w:cs="Times New Roman"/>
        </w:rPr>
      </w:pPr>
    </w:p>
    <w:p w14:paraId="6BFBF820" w14:textId="77777777" w:rsidR="00F51C1D" w:rsidRDefault="00F51C1D">
      <w:pPr>
        <w:jc w:val="both"/>
        <w:rPr>
          <w:rFonts w:ascii="Times New Roman" w:hAnsi="Times New Roman" w:cs="Times New Roman"/>
        </w:rPr>
      </w:pPr>
    </w:p>
    <w:sectPr w:rsidR="00F51C1D">
      <w:footerReference w:type="default" r:id="rId8"/>
      <w:pgSz w:w="11906" w:h="16838"/>
      <w:pgMar w:top="1417" w:right="1417" w:bottom="1417" w:left="1417" w:header="0"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3FE65" w14:textId="77777777" w:rsidR="006D27B7" w:rsidRDefault="006D27B7">
      <w:pPr>
        <w:spacing w:after="0" w:line="240" w:lineRule="auto"/>
      </w:pPr>
      <w:r>
        <w:separator/>
      </w:r>
    </w:p>
  </w:endnote>
  <w:endnote w:type="continuationSeparator" w:id="0">
    <w:p w14:paraId="16B9B2F6" w14:textId="77777777" w:rsidR="006D27B7" w:rsidRDefault="006D27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Sans Serif">
    <w:altName w:val="Microsoft Sans Serif"/>
    <w:charset w:val="EE"/>
    <w:family w:val="roman"/>
    <w:pitch w:val="variable"/>
  </w:font>
  <w:font w:name="Arial Narrow">
    <w:panose1 w:val="020B0606020202030204"/>
    <w:charset w:val="EE"/>
    <w:family w:val="swiss"/>
    <w:pitch w:val="variable"/>
    <w:sig w:usb0="00000287" w:usb1="00000800" w:usb2="00000000" w:usb3="00000000" w:csb0="0000009F" w:csb1="00000000"/>
  </w:font>
  <w:font w:name="Noto Sans CJK SC Regular">
    <w:panose1 w:val="00000000000000000000"/>
    <w:charset w:val="00"/>
    <w:family w:val="roman"/>
    <w:notTrueType/>
    <w:pitch w:val="default"/>
  </w:font>
  <w:font w:name="Lohit Devanagari">
    <w:panose1 w:val="00000000000000000000"/>
    <w:charset w:val="00"/>
    <w:family w:val="roman"/>
    <w:notTrueType/>
    <w:pitch w:val="default"/>
  </w:font>
  <w:font w:name="CIDFont+F1">
    <w:altName w:val="Cambria"/>
    <w:charset w:val="EE"/>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5194574"/>
      <w:docPartObj>
        <w:docPartGallery w:val="Page Numbers (Bottom of Page)"/>
        <w:docPartUnique/>
      </w:docPartObj>
    </w:sdtPr>
    <w:sdtContent>
      <w:p w14:paraId="169B836F" w14:textId="77777777" w:rsidR="00F51C1D" w:rsidRDefault="00000000">
        <w:pPr>
          <w:pStyle w:val="Stopka"/>
          <w:jc w:val="right"/>
        </w:pPr>
        <w:r>
          <w:fldChar w:fldCharType="begin"/>
        </w:r>
        <w:r>
          <w:instrText xml:space="preserve"> PAGE </w:instrText>
        </w:r>
        <w:r>
          <w:fldChar w:fldCharType="separate"/>
        </w:r>
        <w:r>
          <w:t>6</w:t>
        </w:r>
        <w:r>
          <w:fldChar w:fldCharType="end"/>
        </w:r>
      </w:p>
    </w:sdtContent>
  </w:sdt>
  <w:p w14:paraId="670E066C" w14:textId="77777777" w:rsidR="00F51C1D" w:rsidRDefault="00F51C1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F9044" w14:textId="77777777" w:rsidR="006D27B7" w:rsidRDefault="006D27B7">
      <w:pPr>
        <w:spacing w:after="0" w:line="240" w:lineRule="auto"/>
      </w:pPr>
      <w:r>
        <w:separator/>
      </w:r>
    </w:p>
  </w:footnote>
  <w:footnote w:type="continuationSeparator" w:id="0">
    <w:p w14:paraId="382A944A" w14:textId="77777777" w:rsidR="006D27B7" w:rsidRDefault="006D27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663F2"/>
    <w:multiLevelType w:val="multilevel"/>
    <w:tmpl w:val="00761D8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52FE208E"/>
    <w:multiLevelType w:val="multilevel"/>
    <w:tmpl w:val="3590533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566C3D8E"/>
    <w:multiLevelType w:val="multilevel"/>
    <w:tmpl w:val="654C9DE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752610E1"/>
    <w:multiLevelType w:val="multilevel"/>
    <w:tmpl w:val="8E20F5F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346101944">
    <w:abstractNumId w:val="1"/>
  </w:num>
  <w:num w:numId="2" w16cid:durableId="665979010">
    <w:abstractNumId w:val="0"/>
  </w:num>
  <w:num w:numId="3" w16cid:durableId="1223055329">
    <w:abstractNumId w:val="2"/>
  </w:num>
  <w:num w:numId="4" w16cid:durableId="2953378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C1D"/>
    <w:rsid w:val="00290268"/>
    <w:rsid w:val="004D7BC5"/>
    <w:rsid w:val="006D27B7"/>
    <w:rsid w:val="00744F9F"/>
    <w:rsid w:val="00F51C1D"/>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8D541"/>
  <w15:docId w15:val="{C2D6E7C2-2CEA-49C7-A596-9B4EB6C20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C084E"/>
    <w:pPr>
      <w:spacing w:after="200" w:line="276" w:lineRule="auto"/>
    </w:pPr>
  </w:style>
  <w:style w:type="paragraph" w:styleId="Nagwek3">
    <w:name w:val="heading 3"/>
    <w:basedOn w:val="Normalny"/>
    <w:next w:val="Normalny"/>
    <w:link w:val="Nagwek3Znak"/>
    <w:uiPriority w:val="9"/>
    <w:unhideWhenUsed/>
    <w:qFormat/>
    <w:rsid w:val="00D7351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qFormat/>
    <w:rsid w:val="00BB73E4"/>
    <w:rPr>
      <w:sz w:val="16"/>
      <w:szCs w:val="16"/>
    </w:rPr>
  </w:style>
  <w:style w:type="character" w:customStyle="1" w:styleId="TekstkomentarzaZnak">
    <w:name w:val="Tekst komentarza Znak"/>
    <w:basedOn w:val="Domylnaczcionkaakapitu"/>
    <w:link w:val="Tekstkomentarza"/>
    <w:uiPriority w:val="99"/>
    <w:semiHidden/>
    <w:qFormat/>
    <w:rsid w:val="00BB73E4"/>
    <w:rPr>
      <w:sz w:val="20"/>
      <w:szCs w:val="20"/>
    </w:rPr>
  </w:style>
  <w:style w:type="character" w:customStyle="1" w:styleId="TematkomentarzaZnak">
    <w:name w:val="Temat komentarza Znak"/>
    <w:basedOn w:val="TekstkomentarzaZnak"/>
    <w:link w:val="Tematkomentarza"/>
    <w:uiPriority w:val="99"/>
    <w:semiHidden/>
    <w:qFormat/>
    <w:rsid w:val="00BB73E4"/>
    <w:rPr>
      <w:b/>
      <w:bCs/>
      <w:sz w:val="20"/>
      <w:szCs w:val="20"/>
    </w:rPr>
  </w:style>
  <w:style w:type="character" w:customStyle="1" w:styleId="TekstdymkaZnak">
    <w:name w:val="Tekst dymka Znak"/>
    <w:basedOn w:val="Domylnaczcionkaakapitu"/>
    <w:link w:val="Tekstdymka"/>
    <w:uiPriority w:val="99"/>
    <w:semiHidden/>
    <w:qFormat/>
    <w:rsid w:val="00BB73E4"/>
    <w:rPr>
      <w:rFonts w:ascii="Tahoma" w:hAnsi="Tahoma" w:cs="Tahoma"/>
      <w:sz w:val="16"/>
      <w:szCs w:val="16"/>
    </w:rPr>
  </w:style>
  <w:style w:type="character" w:customStyle="1" w:styleId="NagwekZnak">
    <w:name w:val="Nagłówek Znak"/>
    <w:basedOn w:val="Domylnaczcionkaakapitu"/>
    <w:link w:val="Nagwek"/>
    <w:uiPriority w:val="99"/>
    <w:qFormat/>
    <w:rsid w:val="007E29DA"/>
  </w:style>
  <w:style w:type="character" w:customStyle="1" w:styleId="StopkaZnak">
    <w:name w:val="Stopka Znak"/>
    <w:basedOn w:val="Domylnaczcionkaakapitu"/>
    <w:link w:val="Stopka"/>
    <w:uiPriority w:val="99"/>
    <w:qFormat/>
    <w:rsid w:val="007E29DA"/>
  </w:style>
  <w:style w:type="character" w:customStyle="1" w:styleId="TekstprzypisukocowegoZnak">
    <w:name w:val="Tekst przypisu końcowego Znak"/>
    <w:basedOn w:val="Domylnaczcionkaakapitu"/>
    <w:link w:val="Tekstprzypisukocowego"/>
    <w:uiPriority w:val="99"/>
    <w:semiHidden/>
    <w:qFormat/>
    <w:rsid w:val="00573263"/>
    <w:rPr>
      <w:sz w:val="20"/>
      <w:szCs w:val="20"/>
    </w:rPr>
  </w:style>
  <w:style w:type="character" w:customStyle="1" w:styleId="Znakiprzypiswkocowych">
    <w:name w:val="Znaki przypisów końcowych"/>
    <w:basedOn w:val="Domylnaczcionkaakapitu"/>
    <w:uiPriority w:val="99"/>
    <w:semiHidden/>
    <w:unhideWhenUsed/>
    <w:qFormat/>
    <w:rsid w:val="00573263"/>
    <w:rPr>
      <w:vertAlign w:val="superscript"/>
    </w:rPr>
  </w:style>
  <w:style w:type="character" w:styleId="Odwoanieprzypisukocowego">
    <w:name w:val="endnote reference"/>
    <w:rPr>
      <w:vertAlign w:val="superscript"/>
    </w:rPr>
  </w:style>
  <w:style w:type="character" w:customStyle="1" w:styleId="Nagwek3Znak">
    <w:name w:val="Nagłówek 3 Znak"/>
    <w:basedOn w:val="Domylnaczcionkaakapitu"/>
    <w:link w:val="Nagwek3"/>
    <w:uiPriority w:val="9"/>
    <w:qFormat/>
    <w:rsid w:val="00D73518"/>
    <w:rPr>
      <w:rFonts w:asciiTheme="majorHAnsi" w:eastAsiaTheme="majorEastAsia" w:hAnsiTheme="majorHAnsi" w:cstheme="majorBidi"/>
      <w:b/>
      <w:bCs/>
      <w:color w:val="4F81BD" w:themeColor="accent1"/>
    </w:rPr>
  </w:style>
  <w:style w:type="paragraph" w:styleId="Nagwek">
    <w:name w:val="header"/>
    <w:basedOn w:val="Normalny"/>
    <w:next w:val="Tekstpodstawowy"/>
    <w:link w:val="NagwekZnak"/>
    <w:uiPriority w:val="99"/>
    <w:unhideWhenUsed/>
    <w:rsid w:val="007E29DA"/>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Tekstkomentarza">
    <w:name w:val="annotation text"/>
    <w:basedOn w:val="Normalny"/>
    <w:link w:val="TekstkomentarzaZnak"/>
    <w:uiPriority w:val="99"/>
    <w:semiHidden/>
    <w:unhideWhenUsed/>
    <w:qFormat/>
    <w:rsid w:val="00BB73E4"/>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BB73E4"/>
    <w:rPr>
      <w:b/>
      <w:bCs/>
    </w:rPr>
  </w:style>
  <w:style w:type="paragraph" w:styleId="Tekstdymka">
    <w:name w:val="Balloon Text"/>
    <w:basedOn w:val="Normalny"/>
    <w:link w:val="TekstdymkaZnak"/>
    <w:uiPriority w:val="99"/>
    <w:semiHidden/>
    <w:unhideWhenUsed/>
    <w:qFormat/>
    <w:rsid w:val="00BB73E4"/>
    <w:pPr>
      <w:spacing w:after="0" w:line="240" w:lineRule="auto"/>
    </w:pPr>
    <w:rPr>
      <w:rFonts w:ascii="Tahoma" w:hAnsi="Tahoma" w:cs="Tahoma"/>
      <w:sz w:val="16"/>
      <w:szCs w:val="16"/>
    </w:rPr>
  </w:style>
  <w:style w:type="paragraph" w:customStyle="1" w:styleId="Gwkaistopka">
    <w:name w:val="Główka i stopka"/>
    <w:basedOn w:val="Normalny"/>
    <w:qFormat/>
  </w:style>
  <w:style w:type="paragraph" w:styleId="Stopka">
    <w:name w:val="footer"/>
    <w:basedOn w:val="Normalny"/>
    <w:link w:val="StopkaZnak"/>
    <w:uiPriority w:val="99"/>
    <w:unhideWhenUsed/>
    <w:rsid w:val="007E29DA"/>
    <w:pPr>
      <w:tabs>
        <w:tab w:val="center" w:pos="4536"/>
        <w:tab w:val="right" w:pos="9072"/>
      </w:tabs>
      <w:spacing w:after="0" w:line="240" w:lineRule="auto"/>
    </w:pPr>
  </w:style>
  <w:style w:type="paragraph" w:styleId="Tekstprzypisukocowego">
    <w:name w:val="endnote text"/>
    <w:basedOn w:val="Normalny"/>
    <w:link w:val="TekstprzypisukocowegoZnak"/>
    <w:uiPriority w:val="99"/>
    <w:semiHidden/>
    <w:unhideWhenUsed/>
    <w:rsid w:val="00573263"/>
    <w:pPr>
      <w:spacing w:after="0" w:line="240" w:lineRule="auto"/>
    </w:pPr>
    <w:rPr>
      <w:sz w:val="20"/>
      <w:szCs w:val="20"/>
    </w:rPr>
  </w:style>
  <w:style w:type="paragraph" w:styleId="Akapitzlist">
    <w:name w:val="List Paragraph"/>
    <w:basedOn w:val="Normalny"/>
    <w:uiPriority w:val="34"/>
    <w:qFormat/>
    <w:rsid w:val="00AB447B"/>
    <w:pPr>
      <w:ind w:left="720"/>
      <w:contextualSpacing/>
    </w:pPr>
  </w:style>
  <w:style w:type="table" w:styleId="Tabela-Siatka">
    <w:name w:val="Table Grid"/>
    <w:basedOn w:val="Standardowy"/>
    <w:rsid w:val="00DC084E"/>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sid w:val="009A7B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7405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3069</Words>
  <Characters>18417</Characters>
  <Application>Microsoft Office Word</Application>
  <DocSecurity>0</DocSecurity>
  <Lines>153</Lines>
  <Paragraphs>42</Paragraphs>
  <ScaleCrop>false</ScaleCrop>
  <Company/>
  <LinksUpToDate>false</LinksUpToDate>
  <CharactersWithSpaces>21444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msurynt</dc:creator>
  <dc:description/>
  <cp:lastModifiedBy>Agnieszka Łącka</cp:lastModifiedBy>
  <cp:revision>4</cp:revision>
  <cp:lastPrinted>2020-08-31T10:30:00Z</cp:lastPrinted>
  <dcterms:created xsi:type="dcterms:W3CDTF">2023-03-28T06:13:00Z</dcterms:created>
  <dcterms:modified xsi:type="dcterms:W3CDTF">2023-03-28T13:02:00Z</dcterms:modified>
  <dc:language>pl-PL</dc:language>
</cp:coreProperties>
</file>