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w:drawing>
          <wp:anchor distT="0" distB="0" distL="114300" distR="1643380" simplePos="0" relativeHeight="125829378" behindDoc="0" locked="0" layoutInCell="1" allowOverlap="1">
            <wp:simplePos x="0" y="0"/>
            <wp:positionH relativeFrom="page">
              <wp:posOffset>838835</wp:posOffset>
            </wp:positionH>
            <wp:positionV relativeFrom="paragraph">
              <wp:posOffset>27305</wp:posOffset>
            </wp:positionV>
            <wp:extent cx="871855" cy="1054735"/>
            <wp:wrapSquare wrapText="bothSides"/>
            <wp:docPr id="1" name="Shape 1"/>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5"/>
                    <a:stretch/>
                  </pic:blipFill>
                  <pic:spPr>
                    <a:xfrm>
                      <a:ext cx="871855" cy="105473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1876425</wp:posOffset>
                </wp:positionH>
                <wp:positionV relativeFrom="paragraph">
                  <wp:posOffset>292735</wp:posOffset>
                </wp:positionV>
                <wp:extent cx="1360170" cy="728980"/>
                <wp:wrapNone/>
                <wp:docPr id="3" name="Shape 3"/>
                <a:graphic xmlns:a="http://schemas.openxmlformats.org/drawingml/2006/main">
                  <a:graphicData uri="http://schemas.microsoft.com/office/word/2010/wordprocessingShape">
                    <wps:wsp>
                      <wps:cNvSpPr txBox="1"/>
                      <wps:spPr>
                        <a:xfrm>
                          <a:ext cx="1360170" cy="728980"/>
                        </a:xfrm>
                        <a:prstGeom prst="rect"/>
                        <a:noFill/>
                      </wps:spPr>
                      <wps:txbx>
                        <w:txbxContent>
                          <w:p>
                            <w:pPr>
                              <w:pStyle w:val="Style2"/>
                              <w:keepNext w:val="0"/>
                              <w:keepLines w:val="0"/>
                              <w:widowControl w:val="0"/>
                              <w:shd w:val="clear" w:color="auto" w:fill="auto"/>
                              <w:bidi w:val="0"/>
                              <w:spacing w:before="0" w:after="0" w:line="254" w:lineRule="auto"/>
                              <w:ind w:left="0" w:right="0" w:firstLine="0"/>
                              <w:jc w:val="left"/>
                            </w:pPr>
                            <w:r>
                              <w:rPr>
                                <w:rStyle w:val="CharStyle3"/>
                              </w:rPr>
                              <w:t>ul. J. Słowackiego 11</w:t>
                            </w:r>
                          </w:p>
                          <w:p>
                            <w:pPr>
                              <w:pStyle w:val="Style2"/>
                              <w:keepNext w:val="0"/>
                              <w:keepLines w:val="0"/>
                              <w:widowControl w:val="0"/>
                              <w:shd w:val="clear" w:color="auto" w:fill="auto"/>
                              <w:bidi w:val="0"/>
                              <w:spacing w:before="0" w:after="180" w:line="254" w:lineRule="auto"/>
                              <w:ind w:left="0" w:right="0" w:firstLine="0"/>
                              <w:jc w:val="left"/>
                            </w:pPr>
                            <w:r>
                              <w:rPr>
                                <w:rStyle w:val="CharStyle3"/>
                              </w:rPr>
                              <w:t>66-010 Nowogród Bobrzański NIP:9291004928</w:t>
                            </w:r>
                          </w:p>
                          <w:p>
                            <w:pPr>
                              <w:pStyle w:val="Style2"/>
                              <w:keepNext w:val="0"/>
                              <w:keepLines w:val="0"/>
                              <w:widowControl w:val="0"/>
                              <w:shd w:val="clear" w:color="auto" w:fill="auto"/>
                              <w:bidi w:val="0"/>
                              <w:spacing w:before="0" w:after="80" w:line="262" w:lineRule="auto"/>
                              <w:ind w:left="0" w:right="0" w:firstLine="0"/>
                              <w:jc w:val="left"/>
                            </w:pPr>
                            <w:r>
                              <w:rPr>
                                <w:rStyle w:val="CharStyle3"/>
                              </w:rPr>
                              <w:t xml:space="preserve">e-mail: </w:t>
                            </w:r>
                            <w:r>
                              <w:fldChar w:fldCharType="begin"/>
                            </w:r>
                            <w:r>
                              <w:rPr/>
                              <w:instrText> HYPERLINK "mailto:now.bobrz.um@post.pl" </w:instrText>
                            </w:r>
                            <w:r>
                              <w:fldChar w:fldCharType="separate"/>
                            </w:r>
                            <w:r>
                              <w:rPr>
                                <w:rStyle w:val="CharStyle3"/>
                                <w:lang w:val="en-US" w:eastAsia="en-US" w:bidi="en-US"/>
                              </w:rPr>
                              <w:t>now.bobrz.um@post.pl</w:t>
                            </w:r>
                            <w:r>
                              <w:fldChar w:fldCharType="end"/>
                            </w:r>
                            <w:r>
                              <w:rPr>
                                <w:rStyle w:val="CharStyle3"/>
                                <w:lang w:val="en-US" w:eastAsia="en-US" w:bidi="en-US"/>
                              </w:rPr>
                              <w:t xml:space="preserve"> </w:t>
                            </w:r>
                            <w:r>
                              <w:rPr>
                                <w:rStyle w:val="CharStyle3"/>
                              </w:rPr>
                              <w:t xml:space="preserve">web: </w:t>
                            </w:r>
                            <w:r>
                              <w:fldChar w:fldCharType="begin"/>
                            </w:r>
                            <w:r>
                              <w:rPr/>
                              <w:instrText> HYPERLINK "http://www.nowogrodbobrz.pl" </w:instrText>
                            </w:r>
                            <w:r>
                              <w:fldChar w:fldCharType="separate"/>
                            </w:r>
                            <w:r>
                              <w:rPr>
                                <w:rStyle w:val="CharStyle3"/>
                                <w:lang w:val="en-US" w:eastAsia="en-US" w:bidi="en-US"/>
                              </w:rPr>
                              <w:t>www.nowogrodbobrz.pl</w:t>
                            </w:r>
                            <w:r>
                              <w:fldChar w:fldCharType="end"/>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147.75pt;margin-top:23.050000000000001pt;width:107.10000000000001pt;height:57.399999999999999pt;z-index:251657729;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54" w:lineRule="auto"/>
                        <w:ind w:left="0" w:right="0" w:firstLine="0"/>
                        <w:jc w:val="left"/>
                      </w:pPr>
                      <w:r>
                        <w:rPr>
                          <w:rStyle w:val="CharStyle3"/>
                        </w:rPr>
                        <w:t>ul. J. Słowackiego 11</w:t>
                      </w:r>
                    </w:p>
                    <w:p>
                      <w:pPr>
                        <w:pStyle w:val="Style2"/>
                        <w:keepNext w:val="0"/>
                        <w:keepLines w:val="0"/>
                        <w:widowControl w:val="0"/>
                        <w:shd w:val="clear" w:color="auto" w:fill="auto"/>
                        <w:bidi w:val="0"/>
                        <w:spacing w:before="0" w:after="180" w:line="254" w:lineRule="auto"/>
                        <w:ind w:left="0" w:right="0" w:firstLine="0"/>
                        <w:jc w:val="left"/>
                      </w:pPr>
                      <w:r>
                        <w:rPr>
                          <w:rStyle w:val="CharStyle3"/>
                        </w:rPr>
                        <w:t>66-010 Nowogród Bobrzański NIP:9291004928</w:t>
                      </w:r>
                    </w:p>
                    <w:p>
                      <w:pPr>
                        <w:pStyle w:val="Style2"/>
                        <w:keepNext w:val="0"/>
                        <w:keepLines w:val="0"/>
                        <w:widowControl w:val="0"/>
                        <w:shd w:val="clear" w:color="auto" w:fill="auto"/>
                        <w:bidi w:val="0"/>
                        <w:spacing w:before="0" w:after="80" w:line="262" w:lineRule="auto"/>
                        <w:ind w:left="0" w:right="0" w:firstLine="0"/>
                        <w:jc w:val="left"/>
                      </w:pPr>
                      <w:r>
                        <w:rPr>
                          <w:rStyle w:val="CharStyle3"/>
                        </w:rPr>
                        <w:t xml:space="preserve">e-mail: </w:t>
                      </w:r>
                      <w:r>
                        <w:fldChar w:fldCharType="begin"/>
                      </w:r>
                      <w:r>
                        <w:rPr/>
                        <w:instrText> HYPERLINK "mailto:now.bobrz.um@post.pl" </w:instrText>
                      </w:r>
                      <w:r>
                        <w:fldChar w:fldCharType="separate"/>
                      </w:r>
                      <w:r>
                        <w:rPr>
                          <w:rStyle w:val="CharStyle3"/>
                          <w:lang w:val="en-US" w:eastAsia="en-US" w:bidi="en-US"/>
                        </w:rPr>
                        <w:t>now.bobrz.um@post.pl</w:t>
                      </w:r>
                      <w:r>
                        <w:fldChar w:fldCharType="end"/>
                      </w:r>
                      <w:r>
                        <w:rPr>
                          <w:rStyle w:val="CharStyle3"/>
                          <w:lang w:val="en-US" w:eastAsia="en-US" w:bidi="en-US"/>
                        </w:rPr>
                        <w:t xml:space="preserve"> </w:t>
                      </w:r>
                      <w:r>
                        <w:rPr>
                          <w:rStyle w:val="CharStyle3"/>
                        </w:rPr>
                        <w:t xml:space="preserve">web: </w:t>
                      </w:r>
                      <w:r>
                        <w:fldChar w:fldCharType="begin"/>
                      </w:r>
                      <w:r>
                        <w:rPr/>
                        <w:instrText> HYPERLINK "http://www.nowogrodbobrz.pl" </w:instrText>
                      </w:r>
                      <w:r>
                        <w:fldChar w:fldCharType="separate"/>
                      </w:r>
                      <w:r>
                        <w:rPr>
                          <w:rStyle w:val="CharStyle3"/>
                          <w:lang w:val="en-US" w:eastAsia="en-US" w:bidi="en-US"/>
                        </w:rPr>
                        <w:t>www.nowogrodbobrz.pl</w:t>
                      </w:r>
                      <w:r>
                        <w:fldChar w:fldCharType="end"/>
                      </w:r>
                    </w:p>
                  </w:txbxContent>
                </v:textbox>
                <w10:wrap anchorx="page"/>
              </v:shape>
            </w:pict>
          </mc:Fallback>
        </mc:AlternateContent>
      </w:r>
      <w:r>
        <mc:AlternateContent>
          <mc:Choice Requires="wps">
            <w:drawing>
              <wp:anchor distT="0" distB="0" distL="114300" distR="114300" simplePos="0" relativeHeight="125829379" behindDoc="0" locked="0" layoutInCell="1" allowOverlap="1">
                <wp:simplePos x="0" y="0"/>
                <wp:positionH relativeFrom="page">
                  <wp:posOffset>1885315</wp:posOffset>
                </wp:positionH>
                <wp:positionV relativeFrom="paragraph">
                  <wp:posOffset>12700</wp:posOffset>
                </wp:positionV>
                <wp:extent cx="3108960" cy="228600"/>
                <wp:wrapTopAndBottom/>
                <wp:docPr id="5" name="Shape 5"/>
                <a:graphic xmlns:a="http://schemas.openxmlformats.org/drawingml/2006/main">
                  <a:graphicData uri="http://schemas.microsoft.com/office/word/2010/wordprocessingShape">
                    <wps:wsp>
                      <wps:cNvSpPr txBox="1"/>
                      <wps:spPr>
                        <a:xfrm>
                          <a:ext cx="3108960" cy="228600"/>
                        </a:xfrm>
                        <a:prstGeom prst="rect"/>
                        <a:noFill/>
                      </wps:spPr>
                      <wps:txbx>
                        <w:txbxContent>
                          <w:p>
                            <w:pPr>
                              <w:pStyle w:val="Style4"/>
                              <w:keepNext/>
                              <w:keepLines/>
                              <w:widowControl w:val="0"/>
                              <w:shd w:val="clear" w:color="auto" w:fill="auto"/>
                              <w:bidi w:val="0"/>
                              <w:spacing w:before="0" w:after="0" w:line="240" w:lineRule="auto"/>
                              <w:ind w:left="0" w:right="0" w:firstLine="0"/>
                              <w:jc w:val="left"/>
                            </w:pPr>
                            <w:bookmarkStart w:id="0" w:name="bookmark0"/>
                            <w:r>
                              <w:rPr>
                                <w:rStyle w:val="CharStyle5"/>
                                <w:b/>
                                <w:bCs/>
                              </w:rPr>
                              <w:t>Burmistrz Nowogrodu Bobrzańskiego</w:t>
                            </w:r>
                            <w:bookmarkEnd w:id="0"/>
                          </w:p>
                        </w:txbxContent>
                      </wps:txbx>
                      <wps:bodyPr lIns="0" tIns="0" rIns="0" bIns="0">
                        <a:noAutoFit/>
                      </wps:bodyPr>
                    </wps:wsp>
                  </a:graphicData>
                </a:graphic>
              </wp:anchor>
            </w:drawing>
          </mc:Choice>
          <mc:Fallback>
            <w:pict>
              <v:shape id="_x0000_s1031" type="#_x0000_t202" style="position:absolute;margin-left:148.45000000000002pt;margin-top:1.pt;width:244.80000000000001pt;height:18.pt;z-index:-125829374;mso-wrap-distance-left:9.pt;mso-wrap-distance-right:9.pt;mso-position-horizontal-relative:page" filled="f" stroked="f">
                <v:textbox inset="0,0,0,0">
                  <w:txbxContent>
                    <w:p>
                      <w:pPr>
                        <w:pStyle w:val="Style4"/>
                        <w:keepNext/>
                        <w:keepLines/>
                        <w:widowControl w:val="0"/>
                        <w:shd w:val="clear" w:color="auto" w:fill="auto"/>
                        <w:bidi w:val="0"/>
                        <w:spacing w:before="0" w:after="0" w:line="240" w:lineRule="auto"/>
                        <w:ind w:left="0" w:right="0" w:firstLine="0"/>
                        <w:jc w:val="left"/>
                      </w:pPr>
                      <w:bookmarkStart w:id="0" w:name="bookmark0"/>
                      <w:r>
                        <w:rPr>
                          <w:rStyle w:val="CharStyle5"/>
                          <w:b/>
                          <w:bCs/>
                        </w:rPr>
                        <w:t>Burmistrz Nowogrodu Bobrzańskiego</w:t>
                      </w:r>
                      <w:bookmarkEnd w:id="0"/>
                    </w:p>
                  </w:txbxContent>
                </v:textbox>
                <w10:wrap type="topAndBottom" anchorx="page"/>
              </v:shape>
            </w:pict>
          </mc:Fallback>
        </mc:AlternateContent>
      </w:r>
    </w:p>
    <w:p>
      <w:pPr>
        <w:pStyle w:val="Style6"/>
        <w:keepNext w:val="0"/>
        <w:keepLines w:val="0"/>
        <w:widowControl w:val="0"/>
        <w:shd w:val="clear" w:color="auto" w:fill="auto"/>
        <w:bidi w:val="0"/>
        <w:spacing w:before="0" w:after="0" w:line="262" w:lineRule="auto"/>
        <w:ind w:left="0" w:right="0" w:firstLine="0"/>
        <w:jc w:val="left"/>
      </w:pPr>
      <w:r>
        <w:rPr>
          <w:rStyle w:val="CharStyle7"/>
        </w:rPr>
        <w:t>Dni i godziny urzędowania: Poniedziałek 8.00-16.00 wtorek - piątek.7.00 - 15.00</w:t>
      </w:r>
    </w:p>
    <w:p>
      <w:pPr>
        <w:pStyle w:val="Style11"/>
        <w:keepNext w:val="0"/>
        <w:keepLines w:val="0"/>
        <w:widowControl w:val="0"/>
        <w:shd w:val="clear" w:color="auto" w:fill="auto"/>
        <w:bidi w:val="0"/>
        <w:spacing w:before="0" w:after="0" w:line="240" w:lineRule="auto"/>
        <w:ind w:left="0" w:right="0" w:firstLine="0"/>
        <w:jc w:val="left"/>
      </w:pPr>
      <w:r>
        <w:rPr>
          <w:rStyle w:val="CharStyle12"/>
          <w:b/>
          <w:bCs/>
        </w:rPr>
        <w:t>Nr telefonów i faksów:</w:t>
      </w:r>
    </w:p>
    <w:p>
      <w:pPr>
        <w:pStyle w:val="Style6"/>
        <w:keepNext w:val="0"/>
        <w:keepLines w:val="0"/>
        <w:widowControl w:val="0"/>
        <w:shd w:val="clear" w:color="auto" w:fill="auto"/>
        <w:bidi w:val="0"/>
        <w:spacing w:before="0" w:after="0" w:line="240" w:lineRule="auto"/>
        <w:ind w:left="0" w:right="0" w:firstLine="0"/>
        <w:jc w:val="left"/>
      </w:pPr>
      <w:r>
        <w:rPr>
          <w:rStyle w:val="CharStyle7"/>
        </w:rPr>
        <w:t>Centrala 68 329-09-62</w:t>
      </w:r>
    </w:p>
    <w:p>
      <w:pPr>
        <w:pStyle w:val="Style6"/>
        <w:keepNext w:val="0"/>
        <w:keepLines w:val="0"/>
        <w:widowControl w:val="0"/>
        <w:shd w:val="clear" w:color="auto" w:fill="auto"/>
        <w:bidi w:val="0"/>
        <w:spacing w:before="0" w:after="0" w:line="240" w:lineRule="auto"/>
        <w:ind w:left="0" w:right="0" w:firstLine="0"/>
        <w:jc w:val="left"/>
        <w:sectPr>
          <w:footerReference w:type="default" r:id="rId7"/>
          <w:footnotePr>
            <w:pos w:val="pageBottom"/>
            <w:numFmt w:val="decimal"/>
            <w:numRestart w:val="continuous"/>
          </w:footnotePr>
          <w:pgSz w:w="11900" w:h="16840"/>
          <w:pgMar w:top="1175" w:right="1615" w:bottom="1307" w:left="5698" w:header="747" w:footer="3" w:gutter="0"/>
          <w:pgNumType w:start="1"/>
          <w:cols w:num="2" w:space="720" w:equalWidth="0">
            <w:col w:w="2192" w:space="493"/>
            <w:col w:w="1901"/>
          </w:cols>
          <w:noEndnote/>
          <w:rtlGutter w:val="0"/>
          <w:docGrid w:linePitch="360"/>
        </w:sectPr>
      </w:pPr>
      <w:r>
        <w:rPr>
          <w:rStyle w:val="CharStyle7"/>
        </w:rPr>
        <w:t>Fax 68 329-09-62</w:t>
      </w:r>
    </w:p>
    <w:p>
      <w:pPr>
        <w:widowControl w:val="0"/>
        <w:spacing w:line="101" w:lineRule="exact"/>
        <w:rPr>
          <w:sz w:val="8"/>
          <w:szCs w:val="8"/>
        </w:rPr>
      </w:pPr>
    </w:p>
    <w:p>
      <w:pPr>
        <w:widowControl w:val="0"/>
        <w:spacing w:line="1" w:lineRule="exact"/>
        <w:sectPr>
          <w:footnotePr>
            <w:pos w:val="pageBottom"/>
            <w:numFmt w:val="decimal"/>
            <w:numRestart w:val="continuous"/>
          </w:footnotePr>
          <w:type w:val="continuous"/>
          <w:pgSz w:w="11900" w:h="16840"/>
          <w:pgMar w:top="1510" w:right="0" w:bottom="1159" w:left="0" w:header="0" w:footer="3" w:gutter="0"/>
          <w:cols w:space="720"/>
          <w:noEndnote/>
          <w:rtlGutter w:val="0"/>
          <w:docGrid w:linePitch="360"/>
        </w:sectPr>
      </w:pPr>
    </w:p>
    <w:p>
      <w:pPr>
        <w:pStyle w:val="Style13"/>
        <w:keepNext w:val="0"/>
        <w:keepLines w:val="0"/>
        <w:widowControl w:val="0"/>
        <w:shd w:val="clear" w:color="auto" w:fill="auto"/>
        <w:bidi w:val="0"/>
        <w:spacing w:before="0" w:after="260" w:line="240" w:lineRule="auto"/>
        <w:ind w:left="0" w:right="0" w:firstLine="0"/>
        <w:jc w:val="right"/>
      </w:pPr>
      <w:r>
        <w:rPr>
          <w:rStyle w:val="CharStyle14"/>
        </w:rPr>
        <w:t>Nowogród Bobrzański, 11 lipca 2022r.</w:t>
      </w:r>
    </w:p>
    <w:p>
      <w:pPr>
        <w:pStyle w:val="Style13"/>
        <w:keepNext w:val="0"/>
        <w:keepLines w:val="0"/>
        <w:widowControl w:val="0"/>
        <w:shd w:val="clear" w:color="auto" w:fill="auto"/>
        <w:bidi w:val="0"/>
        <w:spacing w:before="0" w:after="260" w:line="240" w:lineRule="auto"/>
        <w:ind w:left="0" w:right="0" w:firstLine="0"/>
        <w:jc w:val="both"/>
      </w:pPr>
      <w:r>
        <w:rPr>
          <w:rStyle w:val="CharStyle14"/>
        </w:rPr>
        <w:t>GKIII.6220.13.2021 .MJS</w:t>
      </w:r>
    </w:p>
    <w:p>
      <w:pPr>
        <w:pStyle w:val="Style13"/>
        <w:keepNext w:val="0"/>
        <w:keepLines w:val="0"/>
        <w:widowControl w:val="0"/>
        <w:shd w:val="clear" w:color="auto" w:fill="auto"/>
        <w:bidi w:val="0"/>
        <w:spacing w:before="0" w:after="260" w:line="259" w:lineRule="auto"/>
        <w:ind w:left="0" w:right="0" w:firstLine="0"/>
        <w:jc w:val="center"/>
      </w:pPr>
      <w:r>
        <w:rPr>
          <w:rStyle w:val="CharStyle14"/>
          <w:b/>
          <w:bCs/>
        </w:rPr>
        <w:t>DECYZJA</w:t>
        <w:br/>
        <w:t>o środowiskowych uwarunkowaniach</w:t>
      </w:r>
    </w:p>
    <w:p>
      <w:pPr>
        <w:pStyle w:val="Style13"/>
        <w:keepNext w:val="0"/>
        <w:keepLines w:val="0"/>
        <w:widowControl w:val="0"/>
        <w:shd w:val="clear" w:color="auto" w:fill="auto"/>
        <w:bidi w:val="0"/>
        <w:spacing w:before="0" w:after="440" w:line="305" w:lineRule="auto"/>
        <w:ind w:left="0" w:right="0" w:firstLine="720"/>
        <w:jc w:val="both"/>
      </w:pPr>
      <w:r>
        <w:rPr>
          <w:rStyle w:val="CharStyle14"/>
        </w:rPr>
        <w:t xml:space="preserve">Na podstawie art. 104 ustawy z dnia 14 czerwca 1960r.- Kodeks postępowania administracyjnego (t.j. Dz. U. z 2021 r. poz. 735.) w związku z art. 71 ust. 2 pkt 2, art. 75 ust. 1 pkt 4 i art. 85 ust. 1 ustawy z dnia 3 października 2008r. o udostępnianiu informacji o środowisku i jego ochronie, udziale społeczeństwa w ochronie środowiska oraz o ocenach oddziaływania na środowisko (t.j. Dz. U. z 2022 r. poz. 1029.), a także § 3 ust. 1 pkt 54 lit. b rozporządzenia Rady Ministrów z dnia 10 września 2019 r. w sprawie przedsięwzięć mogących znacząco oddziaływać na środowisko (Dz. U. z 2019r., poz. 1839) po rozpatrzeniu wniosku spółki ZENIT ENERGY Sp. z o.o. ul. Górna 5, 10-040 Olsztyn, z dn. 30 sierpnia 2021r. (data wpływu: 01.09.2021r.) o wydanie decyzji o środowiskowych uwarunkowaniach dla przedsięwzięcia polegającego na: „Budowie instalacji fotowoltaicznej o mocy do 1 MW wraz z infrastrukturą towarzyszącą na działce o nr 32/2, położonej w obrębie Pierzwin” gm. Nowogród Bobrzański, uzupełnionego pismem z dnia 28.10.2021 r. (data wpływu: 28.10.202Ir.), a także uwzględniając opinie Regionalnego Dyrektora Ochrony Środowiska w Gorzowie Wielkopolskim znak: </w:t>
      </w:r>
      <w:r>
        <w:rPr>
          <w:rStyle w:val="CharStyle14"/>
        </w:rPr>
        <w:t>WZŚ.4220.850.2021.PT</w:t>
      </w:r>
      <w:r>
        <w:rPr>
          <w:rStyle w:val="CharStyle14"/>
        </w:rPr>
        <w:t xml:space="preserve"> z dnia 22 listopada 202Ir. (data wpływu: 22.11.202Ir.), Państwowego Powiatowego Inspektora Sanitarnego w Zielonej Górze znak: NZ.9022.1.134.2021 z dnia 17 listopada 2021 r. (data wpływu: 17.11.2021 r.) oraz Dyrektora Państwowego Gospodarstwa Wodnego Wody Polskie Zarządu Zlewni w Zielonej Górze znak: WR.ZZŚ.7.435.403.2021.MLW z dnia 18 listopada 202Ir. (data wpływu: 22.11.2021 r.),</w:t>
      </w:r>
    </w:p>
    <w:p>
      <w:pPr>
        <w:pStyle w:val="Style13"/>
        <w:keepNext w:val="0"/>
        <w:keepLines w:val="0"/>
        <w:widowControl w:val="0"/>
        <w:shd w:val="clear" w:color="auto" w:fill="auto"/>
        <w:bidi w:val="0"/>
        <w:spacing w:before="0" w:after="0" w:line="266" w:lineRule="auto"/>
        <w:ind w:left="0" w:right="0" w:firstLine="0"/>
        <w:jc w:val="center"/>
      </w:pPr>
      <w:r>
        <w:rPr>
          <w:rStyle w:val="CharStyle14"/>
          <w:b/>
          <w:bCs/>
        </w:rPr>
        <w:t>ORZEKAM</w:t>
      </w:r>
    </w:p>
    <w:p>
      <w:pPr>
        <w:pStyle w:val="Style13"/>
        <w:keepNext w:val="0"/>
        <w:keepLines w:val="0"/>
        <w:widowControl w:val="0"/>
        <w:numPr>
          <w:ilvl w:val="0"/>
          <w:numId w:val="1"/>
        </w:numPr>
        <w:shd w:val="clear" w:color="auto" w:fill="auto"/>
        <w:tabs>
          <w:tab w:pos="1069" w:val="left"/>
        </w:tabs>
        <w:bidi w:val="0"/>
        <w:spacing w:before="0" w:after="0" w:line="266" w:lineRule="auto"/>
        <w:ind w:left="1080" w:right="0" w:hanging="720"/>
        <w:jc w:val="both"/>
      </w:pPr>
      <w:r>
        <w:rPr>
          <w:rStyle w:val="CharStyle14"/>
          <w:b/>
          <w:bCs/>
        </w:rPr>
        <w:t>Stwierdzić brak potrzeby przeprowadzania oceny oddziaływania na środowisko dla przedsięwzięcia polegającego na: „Budowie instalacji fotowoltaicznej o mocy do 1 MW wraz z infrastrukturą towarzyszącą na działce o nr 32/2, położonej w obrębie Pierzwin”</w:t>
      </w:r>
    </w:p>
    <w:p>
      <w:pPr>
        <w:pStyle w:val="Style13"/>
        <w:keepNext w:val="0"/>
        <w:keepLines w:val="0"/>
        <w:widowControl w:val="0"/>
        <w:numPr>
          <w:ilvl w:val="0"/>
          <w:numId w:val="1"/>
        </w:numPr>
        <w:shd w:val="clear" w:color="auto" w:fill="auto"/>
        <w:tabs>
          <w:tab w:pos="1084" w:val="left"/>
        </w:tabs>
        <w:bidi w:val="0"/>
        <w:spacing w:before="0" w:after="0" w:line="266" w:lineRule="auto"/>
        <w:ind w:left="0" w:right="0" w:firstLine="360"/>
        <w:jc w:val="both"/>
      </w:pPr>
      <w:r>
        <w:rPr>
          <w:rStyle w:val="CharStyle14"/>
          <w:b/>
          <w:bCs/>
        </w:rPr>
        <w:t>Określam następujące wymagania :</w:t>
      </w:r>
    </w:p>
    <w:p>
      <w:pPr>
        <w:pStyle w:val="Style13"/>
        <w:keepNext w:val="0"/>
        <w:keepLines w:val="0"/>
        <w:widowControl w:val="0"/>
        <w:numPr>
          <w:ilvl w:val="0"/>
          <w:numId w:val="3"/>
        </w:numPr>
        <w:shd w:val="clear" w:color="auto" w:fill="auto"/>
        <w:tabs>
          <w:tab w:pos="1069" w:val="left"/>
        </w:tabs>
        <w:bidi w:val="0"/>
        <w:spacing w:before="0" w:after="0" w:line="266" w:lineRule="auto"/>
        <w:ind w:left="1080" w:right="0" w:hanging="360"/>
        <w:jc w:val="both"/>
      </w:pPr>
      <w:r>
        <w:rPr>
          <w:rStyle w:val="CharStyle14"/>
        </w:rPr>
        <w:t>W celu zabezpieczenia wód podziemnych i powierzchniowych należy rygorystycznie przestrzegać warunków pracy, by nie dopuścić do zanieczyszczeń powierzchni terenu.</w:t>
      </w:r>
    </w:p>
    <w:p>
      <w:pPr>
        <w:pStyle w:val="Style13"/>
        <w:keepNext w:val="0"/>
        <w:keepLines w:val="0"/>
        <w:widowControl w:val="0"/>
        <w:numPr>
          <w:ilvl w:val="0"/>
          <w:numId w:val="3"/>
        </w:numPr>
        <w:shd w:val="clear" w:color="auto" w:fill="auto"/>
        <w:tabs>
          <w:tab w:pos="1069" w:val="left"/>
        </w:tabs>
        <w:bidi w:val="0"/>
        <w:spacing w:before="0" w:after="0" w:line="266" w:lineRule="auto"/>
        <w:ind w:left="1080" w:right="0" w:hanging="360"/>
        <w:jc w:val="both"/>
      </w:pPr>
      <w:r>
        <w:rPr>
          <w:rStyle w:val="CharStyle14"/>
        </w:rPr>
        <w:t>Podczas realizacji przedsięwzięcia wyposażyć plac budowy w wystarczającą ilość sorbentów do neutralizowania ewentualnie powstających wycieków substancji ropopochodnych.</w:t>
      </w:r>
    </w:p>
    <w:p>
      <w:pPr>
        <w:pStyle w:val="Style13"/>
        <w:keepNext w:val="0"/>
        <w:keepLines w:val="0"/>
        <w:widowControl w:val="0"/>
        <w:numPr>
          <w:ilvl w:val="0"/>
          <w:numId w:val="3"/>
        </w:numPr>
        <w:shd w:val="clear" w:color="auto" w:fill="auto"/>
        <w:tabs>
          <w:tab w:pos="1069" w:val="left"/>
        </w:tabs>
        <w:bidi w:val="0"/>
        <w:spacing w:before="0" w:after="0" w:line="266" w:lineRule="auto"/>
        <w:ind w:left="1080" w:right="0" w:hanging="360"/>
        <w:jc w:val="both"/>
      </w:pPr>
      <w:r>
        <w:rPr>
          <w:rStyle w:val="CharStyle14"/>
        </w:rPr>
        <w:t>Do prac budowlanych stosować sprzęt w pełni sprawny oraz spełniający wymogi dopuszczające go do użytku. Rodzaj i stan techniczny wykorzystywanego sprzętu budowlanego musi zapewnić ochronę gruntu, wód podziemnych i powierzchniowych przed zan ieczy szczeń iam i.</w:t>
      </w:r>
    </w:p>
    <w:p>
      <w:pPr>
        <w:pStyle w:val="Style13"/>
        <w:keepNext w:val="0"/>
        <w:keepLines w:val="0"/>
        <w:widowControl w:val="0"/>
        <w:numPr>
          <w:ilvl w:val="0"/>
          <w:numId w:val="3"/>
        </w:numPr>
        <w:shd w:val="clear" w:color="auto" w:fill="auto"/>
        <w:tabs>
          <w:tab w:pos="1069" w:val="left"/>
        </w:tabs>
        <w:bidi w:val="0"/>
        <w:spacing w:before="0" w:after="0" w:line="266" w:lineRule="auto"/>
        <w:ind w:left="1080" w:right="0" w:hanging="360"/>
        <w:jc w:val="both"/>
      </w:pPr>
      <w:r>
        <w:rPr>
          <w:rStyle w:val="CharStyle14"/>
        </w:rPr>
        <w:t>W celu ochrony wód i uniknięcia sytuacji awaryjnych należy prowadzić kontrolę techniczną układów paliwowych używanych maszyn, a w przypadku awarii i wycieku oleju lub paliwa zebrać zanieczyszczone masy ziemne i je zneutralizować.</w:t>
      </w:r>
    </w:p>
    <w:p>
      <w:pPr>
        <w:pStyle w:val="Style13"/>
        <w:keepNext w:val="0"/>
        <w:keepLines w:val="0"/>
        <w:widowControl w:val="0"/>
        <w:numPr>
          <w:ilvl w:val="0"/>
          <w:numId w:val="3"/>
        </w:numPr>
        <w:shd w:val="clear" w:color="auto" w:fill="auto"/>
        <w:tabs>
          <w:tab w:pos="1069" w:val="left"/>
        </w:tabs>
        <w:bidi w:val="0"/>
        <w:spacing w:before="0" w:after="260" w:line="266" w:lineRule="auto"/>
        <w:ind w:left="1080" w:right="0" w:hanging="360"/>
        <w:jc w:val="both"/>
      </w:pPr>
      <w:r>
        <w:rPr>
          <w:rStyle w:val="CharStyle14"/>
        </w:rPr>
        <w:t>Podczas napraw i tankowania maszyn budowlanych miejsce wykonania tych prac powinno być zabezpieczone np. specjalistyczną folią lub matą sorpcyjną.</w:t>
      </w:r>
      <w:r>
        <w:br w:type="page"/>
      </w:r>
    </w:p>
    <w:p>
      <w:pPr>
        <w:pStyle w:val="Style13"/>
        <w:keepNext w:val="0"/>
        <w:keepLines w:val="0"/>
        <w:widowControl w:val="0"/>
        <w:numPr>
          <w:ilvl w:val="0"/>
          <w:numId w:val="3"/>
        </w:numPr>
        <w:shd w:val="clear" w:color="auto" w:fill="auto"/>
        <w:tabs>
          <w:tab w:pos="1086" w:val="left"/>
        </w:tabs>
        <w:bidi w:val="0"/>
        <w:spacing w:before="0" w:after="0" w:line="262" w:lineRule="auto"/>
        <w:ind w:left="1080" w:right="0" w:hanging="340"/>
        <w:jc w:val="both"/>
      </w:pPr>
      <w:r>
        <w:rPr>
          <w:rStyle w:val="CharStyle14"/>
        </w:rPr>
        <w:t>Zlokalizować bazę materiałowo- sprzętową w specjalnie wyznaczonym do tego miejscu w odległości co najmniej kilkudziesięciu metrów od rowów melioracyjnych, na szczelnej i utwardzonej nawierzchni.</w:t>
      </w:r>
    </w:p>
    <w:p>
      <w:pPr>
        <w:pStyle w:val="Style13"/>
        <w:keepNext w:val="0"/>
        <w:keepLines w:val="0"/>
        <w:widowControl w:val="0"/>
        <w:numPr>
          <w:ilvl w:val="0"/>
          <w:numId w:val="3"/>
        </w:numPr>
        <w:shd w:val="clear" w:color="auto" w:fill="auto"/>
        <w:tabs>
          <w:tab w:pos="1086" w:val="left"/>
        </w:tabs>
        <w:bidi w:val="0"/>
        <w:spacing w:before="0" w:after="0" w:line="262" w:lineRule="auto"/>
        <w:ind w:left="1080" w:right="0" w:hanging="340"/>
        <w:jc w:val="both"/>
      </w:pPr>
      <w:r>
        <w:rPr>
          <w:rStyle w:val="CharStyle14"/>
        </w:rPr>
        <w:t>Ograniczyć powierzchnię robót do niezbędnego minimum. Uporządkować teren budowy po zakończeniu robót budowlanych.</w:t>
      </w:r>
    </w:p>
    <w:p>
      <w:pPr>
        <w:pStyle w:val="Style13"/>
        <w:keepNext w:val="0"/>
        <w:keepLines w:val="0"/>
        <w:widowControl w:val="0"/>
        <w:numPr>
          <w:ilvl w:val="0"/>
          <w:numId w:val="3"/>
        </w:numPr>
        <w:shd w:val="clear" w:color="auto" w:fill="auto"/>
        <w:tabs>
          <w:tab w:pos="1086" w:val="left"/>
        </w:tabs>
        <w:bidi w:val="0"/>
        <w:spacing w:before="0" w:after="0" w:line="262" w:lineRule="auto"/>
        <w:ind w:left="1080" w:right="0" w:hanging="340"/>
        <w:jc w:val="both"/>
      </w:pPr>
      <w:r>
        <w:rPr>
          <w:rStyle w:val="CharStyle14"/>
        </w:rPr>
        <w:t>W trakcie prac budowlanych (podczas wykonywania przyłączy) chronić otwarte wykopy przed ich zalaniem wodami opadowymi lub roztopowymi oraz przed możliwością przedostania się do nich zanieczyszczeń.</w:t>
      </w:r>
    </w:p>
    <w:p>
      <w:pPr>
        <w:pStyle w:val="Style13"/>
        <w:keepNext w:val="0"/>
        <w:keepLines w:val="0"/>
        <w:widowControl w:val="0"/>
        <w:numPr>
          <w:ilvl w:val="0"/>
          <w:numId w:val="3"/>
        </w:numPr>
        <w:shd w:val="clear" w:color="auto" w:fill="auto"/>
        <w:tabs>
          <w:tab w:pos="1086" w:val="left"/>
        </w:tabs>
        <w:bidi w:val="0"/>
        <w:spacing w:before="0" w:after="0" w:line="262" w:lineRule="auto"/>
        <w:ind w:left="1080" w:right="0" w:hanging="340"/>
        <w:jc w:val="both"/>
      </w:pPr>
      <w:r>
        <w:rPr>
          <w:rStyle w:val="CharStyle14"/>
        </w:rPr>
        <w:t>Podczas realizacji inwestycji w miejscu wbijania słupów sprawdzić czy nie ma sączków drenarskich (metodą odkrywkową lub inną). W wypadku natrafienia na sączki drenarskie wykonać obejście. W przypadku uszkodzenia urządzeń drenarskich inwestor zobligowany jest do pokrycia lub naprawy zaistniałych szkód.</w:t>
      </w:r>
    </w:p>
    <w:p>
      <w:pPr>
        <w:pStyle w:val="Style13"/>
        <w:keepNext w:val="0"/>
        <w:keepLines w:val="0"/>
        <w:widowControl w:val="0"/>
        <w:numPr>
          <w:ilvl w:val="0"/>
          <w:numId w:val="3"/>
        </w:numPr>
        <w:shd w:val="clear" w:color="auto" w:fill="auto"/>
        <w:tabs>
          <w:tab w:pos="1114" w:val="left"/>
        </w:tabs>
        <w:bidi w:val="0"/>
        <w:spacing w:before="0" w:after="0" w:line="262" w:lineRule="auto"/>
        <w:ind w:left="1080" w:right="0" w:hanging="340"/>
        <w:jc w:val="both"/>
      </w:pPr>
      <w:r>
        <w:rPr>
          <w:rStyle w:val="CharStyle14"/>
        </w:rPr>
        <w:t>Zgodnie z zapisami Ustawy Prawo Wodne z dnia 20 lipca 2017 (t.j. Dz. U. z 2021 r., poz. 624 z późn. zm.) w przypadku konieczności likwidacji lub przebudowy urządzenia wodnego należy uzyskać pozwolenie wodnoprawne.</w:t>
      </w:r>
    </w:p>
    <w:p>
      <w:pPr>
        <w:pStyle w:val="Style13"/>
        <w:keepNext w:val="0"/>
        <w:keepLines w:val="0"/>
        <w:widowControl w:val="0"/>
        <w:numPr>
          <w:ilvl w:val="0"/>
          <w:numId w:val="3"/>
        </w:numPr>
        <w:shd w:val="clear" w:color="auto" w:fill="auto"/>
        <w:tabs>
          <w:tab w:pos="1110" w:val="left"/>
        </w:tabs>
        <w:bidi w:val="0"/>
        <w:spacing w:before="0" w:after="0" w:line="262" w:lineRule="auto"/>
        <w:ind w:left="1080" w:right="0" w:hanging="340"/>
        <w:jc w:val="both"/>
      </w:pPr>
      <w:r>
        <w:rPr>
          <w:rStyle w:val="CharStyle14"/>
        </w:rPr>
        <w:t>Należy zachować szczególną ostrożność podczas prowadzenia prac w pobliżu rowu melioracyjnego, aby nie doprowadzić do zanieczyszczenia wód (masami ziemnymi, materiałami budowlanymi, odpadami), bądź przedostaniem się zawiesin mineralnych czy zanieczyszczeń z placu budowy bezpośrednio do wód. W przypadku takiego zdarzenia należy natychmiast usunąć materiał i przywrócić przepływ wód.</w:t>
      </w:r>
    </w:p>
    <w:p>
      <w:pPr>
        <w:pStyle w:val="Style13"/>
        <w:keepNext w:val="0"/>
        <w:keepLines w:val="0"/>
        <w:widowControl w:val="0"/>
        <w:numPr>
          <w:ilvl w:val="0"/>
          <w:numId w:val="3"/>
        </w:numPr>
        <w:shd w:val="clear" w:color="auto" w:fill="auto"/>
        <w:tabs>
          <w:tab w:pos="1110" w:val="left"/>
        </w:tabs>
        <w:bidi w:val="0"/>
        <w:spacing w:before="0" w:after="0" w:line="262" w:lineRule="auto"/>
        <w:ind w:left="1080" w:right="0" w:hanging="340"/>
        <w:jc w:val="both"/>
      </w:pPr>
      <w:r>
        <w:rPr>
          <w:rStyle w:val="CharStyle14"/>
        </w:rPr>
        <w:t>W przypadku zastosowania transformatora olejowego, komory transformatorowe należy wyposażyć w szczelną misę olejową o pojemności pozwalającej przejąć 100% oleju zawartego w transformatorze.</w:t>
      </w:r>
    </w:p>
    <w:p>
      <w:pPr>
        <w:pStyle w:val="Style13"/>
        <w:keepNext w:val="0"/>
        <w:keepLines w:val="0"/>
        <w:widowControl w:val="0"/>
        <w:numPr>
          <w:ilvl w:val="0"/>
          <w:numId w:val="3"/>
        </w:numPr>
        <w:shd w:val="clear" w:color="auto" w:fill="auto"/>
        <w:tabs>
          <w:tab w:pos="1114" w:val="left"/>
        </w:tabs>
        <w:bidi w:val="0"/>
        <w:spacing w:before="0" w:after="0" w:line="262" w:lineRule="auto"/>
        <w:ind w:left="1080" w:right="0" w:hanging="340"/>
        <w:jc w:val="both"/>
      </w:pPr>
      <w:r>
        <w:rPr>
          <w:rStyle w:val="CharStyle14"/>
        </w:rPr>
        <w:t>Na etapie eksploatacji inwestycji, w przypadku kultywacji roślinności pod panelami, w przypadku konieczności użycia środków ochrony roślin i chemii rolniczej - należy stosować środki, które nie pogorszą stanu wód powierzchniowych i podziemnych.</w:t>
      </w:r>
    </w:p>
    <w:p>
      <w:pPr>
        <w:pStyle w:val="Style13"/>
        <w:keepNext w:val="0"/>
        <w:keepLines w:val="0"/>
        <w:widowControl w:val="0"/>
        <w:numPr>
          <w:ilvl w:val="0"/>
          <w:numId w:val="3"/>
        </w:numPr>
        <w:shd w:val="clear" w:color="auto" w:fill="auto"/>
        <w:tabs>
          <w:tab w:pos="1107" w:val="left"/>
        </w:tabs>
        <w:bidi w:val="0"/>
        <w:spacing w:before="0" w:after="0" w:line="262" w:lineRule="auto"/>
        <w:ind w:left="1080" w:right="0" w:hanging="340"/>
        <w:jc w:val="both"/>
      </w:pPr>
      <w:r>
        <w:rPr>
          <w:rStyle w:val="CharStyle14"/>
        </w:rPr>
        <w:t>W przypadku konieczności mycia paneli środkami czyszczącymi należy używać wyłącznie środków biodegradowalnych, a wodę dostarczać z zewnątrz na teren inwestycji.</w:t>
      </w:r>
    </w:p>
    <w:p>
      <w:pPr>
        <w:pStyle w:val="Style13"/>
        <w:keepNext w:val="0"/>
        <w:keepLines w:val="0"/>
        <w:widowControl w:val="0"/>
        <w:numPr>
          <w:ilvl w:val="0"/>
          <w:numId w:val="3"/>
        </w:numPr>
        <w:shd w:val="clear" w:color="auto" w:fill="auto"/>
        <w:tabs>
          <w:tab w:pos="1107" w:val="left"/>
        </w:tabs>
        <w:bidi w:val="0"/>
        <w:spacing w:before="0" w:after="0" w:line="262" w:lineRule="auto"/>
        <w:ind w:left="1080" w:right="0" w:hanging="340"/>
        <w:jc w:val="both"/>
      </w:pPr>
      <w:r>
        <w:rPr>
          <w:rStyle w:val="CharStyle14"/>
        </w:rPr>
        <w:t>Plac budowy wyposażyć w szczelne przenośne sanitariaty, których zawartość będzie systematycznie opróżniana przez wyspecjalizowane podmioty.</w:t>
      </w:r>
    </w:p>
    <w:p>
      <w:pPr>
        <w:pStyle w:val="Style13"/>
        <w:keepNext w:val="0"/>
        <w:keepLines w:val="0"/>
        <w:widowControl w:val="0"/>
        <w:numPr>
          <w:ilvl w:val="0"/>
          <w:numId w:val="3"/>
        </w:numPr>
        <w:shd w:val="clear" w:color="auto" w:fill="auto"/>
        <w:tabs>
          <w:tab w:pos="1114" w:val="left"/>
        </w:tabs>
        <w:bidi w:val="0"/>
        <w:spacing w:before="0" w:after="0" w:line="262" w:lineRule="auto"/>
        <w:ind w:left="1080" w:right="0" w:hanging="340"/>
        <w:jc w:val="both"/>
      </w:pPr>
      <w:r>
        <w:rPr>
          <w:rStyle w:val="CharStyle14"/>
        </w:rPr>
        <w:t>Wody opadowe lub roztopowe z terenu planowanej inwestycji odprowadzić w sposób niezorganizowany do gruntu w granicach działki, bez powodowania szkody dla terenów sąsiednich.</w:t>
      </w:r>
    </w:p>
    <w:p>
      <w:pPr>
        <w:pStyle w:val="Style13"/>
        <w:keepNext w:val="0"/>
        <w:keepLines w:val="0"/>
        <w:widowControl w:val="0"/>
        <w:numPr>
          <w:ilvl w:val="0"/>
          <w:numId w:val="3"/>
        </w:numPr>
        <w:shd w:val="clear" w:color="auto" w:fill="auto"/>
        <w:tabs>
          <w:tab w:pos="1110" w:val="left"/>
        </w:tabs>
        <w:bidi w:val="0"/>
        <w:spacing w:before="0" w:after="240" w:line="262" w:lineRule="auto"/>
        <w:ind w:left="1080" w:right="0" w:hanging="340"/>
        <w:jc w:val="both"/>
      </w:pPr>
      <w:r>
        <w:rPr>
          <w:rStyle w:val="CharStyle14"/>
        </w:rPr>
        <w:t>Na wszystkich etapach przedsięwzięcia zapewnić właściwe gospodarowanie odpadami, także niebezpiecznymi, w tym minimalizować ich ilość, gromadzić selektywnie w wydzielonych i przystosowanych miejscach, w warunkach zabezpieczających przed przedostawaniem się do środowiska gruntowo-wodnego substancji szkodliwych oraz zapewnić ich regularny odbiór przez uprawnione podmioty.</w:t>
      </w:r>
    </w:p>
    <w:p>
      <w:pPr>
        <w:pStyle w:val="Style13"/>
        <w:keepNext w:val="0"/>
        <w:keepLines w:val="0"/>
        <w:widowControl w:val="0"/>
        <w:numPr>
          <w:ilvl w:val="0"/>
          <w:numId w:val="1"/>
        </w:numPr>
        <w:shd w:val="clear" w:color="auto" w:fill="auto"/>
        <w:tabs>
          <w:tab w:pos="1084" w:val="left"/>
        </w:tabs>
        <w:bidi w:val="0"/>
        <w:spacing w:before="0" w:after="500" w:line="262" w:lineRule="auto"/>
        <w:ind w:left="0" w:right="0" w:firstLine="360"/>
        <w:jc w:val="both"/>
      </w:pPr>
      <w:r>
        <w:rPr>
          <w:rStyle w:val="CharStyle14"/>
          <w:b/>
          <w:bCs/>
        </w:rPr>
        <w:t>Charakterystyka przedsięwzięcia stanowi integralną część niniejszej decyzji.</w:t>
      </w:r>
    </w:p>
    <w:p>
      <w:pPr>
        <w:pStyle w:val="Style13"/>
        <w:keepNext w:val="0"/>
        <w:keepLines w:val="0"/>
        <w:widowControl w:val="0"/>
        <w:shd w:val="clear" w:color="auto" w:fill="auto"/>
        <w:bidi w:val="0"/>
        <w:spacing w:before="0" w:after="0"/>
        <w:ind w:left="0" w:right="0" w:firstLine="0"/>
        <w:jc w:val="center"/>
      </w:pPr>
      <w:r>
        <w:rPr>
          <w:rStyle w:val="CharStyle14"/>
          <w:b/>
          <w:bCs/>
        </w:rPr>
        <w:t>UZASADNIENIE</w:t>
      </w:r>
    </w:p>
    <w:p>
      <w:pPr>
        <w:pStyle w:val="Style13"/>
        <w:keepNext w:val="0"/>
        <w:keepLines w:val="0"/>
        <w:widowControl w:val="0"/>
        <w:shd w:val="clear" w:color="auto" w:fill="auto"/>
        <w:bidi w:val="0"/>
        <w:spacing w:before="0" w:after="0"/>
        <w:ind w:left="0" w:right="0" w:firstLine="740"/>
        <w:jc w:val="both"/>
      </w:pPr>
      <w:r>
        <w:rPr>
          <w:rStyle w:val="CharStyle14"/>
        </w:rPr>
        <w:t xml:space="preserve">W dniu 1 września 202Ir. do Burmistrza Nowogrodu Bobrzańskiego wpłynął wniosek z dnia 30 sierpnia 2021 r., uzupełniony pismem z dnia 28.10.2021 r. (data wpływu: 28.10.202Ir.) spółki ZENIT ENERGY Sp. z o.o. ul. Górna 5, 10-040 Olsztyn o wydanie decyzji o środowiskowych uwarunkowaniach zgody na realizację przedsięwzięcia polegającego na: </w:t>
      </w:r>
      <w:r>
        <w:rPr>
          <w:rStyle w:val="CharStyle14"/>
          <w:b/>
          <w:bCs/>
        </w:rPr>
        <w:t xml:space="preserve">„Budowie instalacji fotowoltaicznej o mocy do 1 MW wraz z infrastrukturą towarzyszącą na działce o nr 32/2, położonej w obrębie Pierzwin” </w:t>
      </w:r>
      <w:r>
        <w:rPr>
          <w:rStyle w:val="CharStyle14"/>
        </w:rPr>
        <w:t>gm. Nowogród Bobrzański.</w:t>
      </w:r>
    </w:p>
    <w:p>
      <w:pPr>
        <w:pStyle w:val="Style13"/>
        <w:keepNext w:val="0"/>
        <w:keepLines w:val="0"/>
        <w:widowControl w:val="0"/>
        <w:shd w:val="clear" w:color="auto" w:fill="auto"/>
        <w:bidi w:val="0"/>
        <w:spacing w:before="0" w:after="0"/>
        <w:ind w:left="0" w:right="0" w:firstLine="740"/>
        <w:jc w:val="both"/>
      </w:pPr>
      <w:r>
        <w:rPr>
          <w:rStyle w:val="CharStyle14"/>
        </w:rPr>
        <w:t>Biorąc pod uwagę rodzaj i lokalizację przedsięwzięcia, organem właściwym do wydania decyzji w niniejszej sprawie, zgodnie z art. 75 ust. 1 pkt 4 ustawy z dnia 3 października 2008r. o udostępnianiu informacji o środowisku i jego ochronie, udziale społeczeństwa w ochronie środowiska oraz o ocenach oddziaływania na środowisko (t.j. Dz. U. z 2022 r. poz. 1029.) jest Burmistrz Nowogrodu Bobrzańskiego.</w:t>
      </w:r>
      <w:r>
        <w:br w:type="page"/>
      </w:r>
    </w:p>
    <w:p>
      <w:pPr>
        <w:pStyle w:val="Style13"/>
        <w:keepNext w:val="0"/>
        <w:keepLines w:val="0"/>
        <w:widowControl w:val="0"/>
        <w:shd w:val="clear" w:color="auto" w:fill="auto"/>
        <w:bidi w:val="0"/>
        <w:spacing w:before="0" w:after="0"/>
        <w:ind w:left="0" w:right="0" w:firstLine="0"/>
        <w:jc w:val="both"/>
      </w:pPr>
      <w:r>
        <w:rPr>
          <w:rStyle w:val="CharStyle14"/>
        </w:rPr>
        <w:t>Organ po wezwaniu do usunięcia braków formalnych wniosku z dnia 19 października 2021 r., następnie po otrzymaniu uzupełnienia z dnia 28 października 2021 r. i sprawdzeniu kompletności w/w wniosku wszczął postępowanie administracyjne w przedmiotowej sprawie, powiadamiając strony, zgodnie z art. 73 ust. 1 ustawy ooś, poprzez zawiadomienie z dnia 9 listopada 2021 r.. znak: GKIII.6220.13.2021 .MJS. Informacja o toczącym się postępowaniu została umieszczona w Ekoportalu.</w:t>
      </w:r>
    </w:p>
    <w:p>
      <w:pPr>
        <w:pStyle w:val="Style13"/>
        <w:keepNext w:val="0"/>
        <w:keepLines w:val="0"/>
        <w:widowControl w:val="0"/>
        <w:shd w:val="clear" w:color="auto" w:fill="auto"/>
        <w:bidi w:val="0"/>
        <w:spacing w:before="0" w:after="0"/>
        <w:ind w:left="0" w:right="0" w:firstLine="740"/>
        <w:jc w:val="both"/>
      </w:pPr>
      <w:r>
        <w:rPr>
          <w:rStyle w:val="CharStyle14"/>
        </w:rPr>
        <w:t>Analizowana inwestycja, zgodnie z §3 ust. 1 pkt 54 lit. b Rozporządzenia Rady Ministrów z dnia 10 września 2019 r. w sprawie przedsięwzięć mogących znacząco oddziaływać na środowisko (Dz. U. z 2019r., poz. 1839) jest przedsięwzięciem mogącym potencjalnie znacząco oddziaływać na środowisko, dla którego obowiązek przeprowadzenia oceny oddziaływania na środowisko może być stwierdzony na podstawie art. 63 ust. 1 ustawy ooś.</w:t>
      </w:r>
    </w:p>
    <w:p>
      <w:pPr>
        <w:pStyle w:val="Style13"/>
        <w:keepNext w:val="0"/>
        <w:keepLines w:val="0"/>
        <w:widowControl w:val="0"/>
        <w:shd w:val="clear" w:color="auto" w:fill="auto"/>
        <w:bidi w:val="0"/>
        <w:spacing w:before="0" w:after="0"/>
        <w:ind w:left="0" w:right="0" w:firstLine="740"/>
        <w:jc w:val="both"/>
      </w:pPr>
      <w:r>
        <w:rPr>
          <w:rStyle w:val="CharStyle14"/>
        </w:rPr>
        <w:t>W myśl art. 71 ust. 2 pkt 2 ustawy ooś, dla planowanych przedsięwzięć mogących potencjalnie znacząco oddziaływać na środowisko, wymagane jest uzyskanie decyzji o środowiskowych uwarunkowaniach przed wydaniem decyzji wymienionych w art. 72 ust.l lub dokonaniem zgłoszenia określonego w art. 72 ust. 1 a ustawy ooś.</w:t>
      </w:r>
    </w:p>
    <w:p>
      <w:pPr>
        <w:pStyle w:val="Style13"/>
        <w:keepNext w:val="0"/>
        <w:keepLines w:val="0"/>
        <w:widowControl w:val="0"/>
        <w:shd w:val="clear" w:color="auto" w:fill="auto"/>
        <w:bidi w:val="0"/>
        <w:spacing w:before="0" w:after="0"/>
        <w:ind w:left="0" w:right="0" w:firstLine="740"/>
        <w:jc w:val="both"/>
      </w:pPr>
      <w:r>
        <w:rPr>
          <w:rStyle w:val="CharStyle14"/>
        </w:rPr>
        <w:t>Mając na uwadze powyższe, stosownie do zapisów art. 64 ust. 1 w/w ustawy, Burmistrz Nowogrodu Bobrzańskiego wystąpił pismem znak: GKIII.6220.13.2021 .MJS z dnia 9 listopada 2021 r. do Regionalnego Dyrektora Ochrony Środowiska w Gorzowie Wielkopolskim, Państwowego Powiatowego Inspektora Sanitarnego w Zielonej Górze oraz Dyrektora Zarządu Zlewni w Zielonej Górze Państwowego Gospodarstwa Wodnego Wody Polskie, o wydanie opinii w przedmiocie potrzeby przeprowadzenia oceny oddziaływania na środowisko oraz ewentualnego zakresu raportu o oddziaływaniu na środowisko.</w:t>
      </w:r>
    </w:p>
    <w:p>
      <w:pPr>
        <w:pStyle w:val="Style13"/>
        <w:keepNext w:val="0"/>
        <w:keepLines w:val="0"/>
        <w:widowControl w:val="0"/>
        <w:shd w:val="clear" w:color="auto" w:fill="auto"/>
        <w:bidi w:val="0"/>
        <w:spacing w:before="0" w:after="0"/>
        <w:ind w:left="0" w:right="0" w:firstLine="0"/>
        <w:jc w:val="both"/>
      </w:pPr>
      <w:r>
        <w:rPr>
          <w:rStyle w:val="CharStyle14"/>
        </w:rPr>
        <w:t xml:space="preserve">Regionalny Dyrektor Ochrony Środowiska w Gorzowie Wielkopolskim, w opinii znak: </w:t>
      </w:r>
      <w:r>
        <w:rPr>
          <w:rStyle w:val="CharStyle14"/>
        </w:rPr>
        <w:t>WZŚ.4220.850.2021.PT</w:t>
      </w:r>
      <w:r>
        <w:rPr>
          <w:rStyle w:val="CharStyle14"/>
        </w:rPr>
        <w:t xml:space="preserve"> z dnia 22 listopada 2021r. (data wpływu: 22.11.2021r.), wyraził opinię, że dla planowanego przedsięwzięcia nie ma konieczności przeprowadzenia oceny oddziaływania na środowisko.</w:t>
      </w:r>
    </w:p>
    <w:p>
      <w:pPr>
        <w:pStyle w:val="Style13"/>
        <w:keepNext w:val="0"/>
        <w:keepLines w:val="0"/>
        <w:widowControl w:val="0"/>
        <w:shd w:val="clear" w:color="auto" w:fill="auto"/>
        <w:bidi w:val="0"/>
        <w:spacing w:before="0" w:after="0"/>
        <w:ind w:left="0" w:right="0" w:firstLine="0"/>
        <w:jc w:val="both"/>
      </w:pPr>
      <w:r>
        <w:rPr>
          <w:rStyle w:val="CharStyle14"/>
        </w:rPr>
        <w:t>Państwowy Powiatowy Inspektor Sanitarny w Zielonej Górze, opinią sanitarną znak: NZ.9022.1.134.2021 z dnia 17 listopada 2021 r. (data wpływu: 17.11.2021 r.) zajął stanowisko, że przeprowadzenie oceny oddziaływania przedsięwzięcia na środowisko w zakresie wymagań higienicznych i zdrowotnych nie jest wymagane.</w:t>
      </w:r>
    </w:p>
    <w:p>
      <w:pPr>
        <w:pStyle w:val="Style13"/>
        <w:keepNext w:val="0"/>
        <w:keepLines w:val="0"/>
        <w:widowControl w:val="0"/>
        <w:shd w:val="clear" w:color="auto" w:fill="auto"/>
        <w:bidi w:val="0"/>
        <w:spacing w:before="0" w:after="0"/>
        <w:ind w:left="0" w:right="0" w:firstLine="0"/>
        <w:jc w:val="both"/>
      </w:pPr>
      <w:r>
        <w:rPr>
          <w:rStyle w:val="CharStyle14"/>
        </w:rPr>
        <w:t>Dyrektor Zarządu Zlewni w Zielonej Górze Państwowego Gospodarstwa Wodnego Wody Polskie w opinii znak: WR.ZZŚ.7.435.403.2021.MLW z dnia 18 listopada 2021r. (data wpływu: 22.11.2021 r.) odstąpił od obowiązku przeprowadzenia oceny oddziaływania na środowisko planowanego przedsięwzięcia wskazując równocześnie na konieczność określenia wymagań w decyzji o środowiskowych uwarunkowaniach, które organ uwzględnił w pkt. II sentencji niniejszej decyzji.</w:t>
      </w:r>
    </w:p>
    <w:p>
      <w:pPr>
        <w:pStyle w:val="Style13"/>
        <w:keepNext w:val="0"/>
        <w:keepLines w:val="0"/>
        <w:widowControl w:val="0"/>
        <w:shd w:val="clear" w:color="auto" w:fill="auto"/>
        <w:bidi w:val="0"/>
        <w:spacing w:before="0" w:after="0"/>
        <w:ind w:left="0" w:right="0" w:firstLine="740"/>
        <w:jc w:val="both"/>
      </w:pPr>
      <w:r>
        <w:rPr>
          <w:rStyle w:val="CharStyle14"/>
        </w:rPr>
        <w:t>W toku postępowania do Urzędu Miejskiego w Nowogrodzie Bobrzańskim, w dniu 30 listopada 2021 r. wpłynęło pismo z dnia 29 listopada 2021 r. PGL Lasów Państwowych Nadleśnictwo Nowa Sól z informacją o najmniejszej dopuszczalnej odległości od granicy lasu jaka powinna być spełniona przy lokalizacji inwestycji. Pismo dotyczy postępowania w sprawie wydania warunków zabudowy, a nie postępowania w spawie wydania decyzji o środowiskowych uwarunkowaniach, zatem warunki o których mowa w piśmie należy uwzględnić przy wydaniu decyzji o warunkach zabudowy.</w:t>
      </w:r>
    </w:p>
    <w:p>
      <w:pPr>
        <w:pStyle w:val="Style13"/>
        <w:keepNext w:val="0"/>
        <w:keepLines w:val="0"/>
        <w:widowControl w:val="0"/>
        <w:shd w:val="clear" w:color="auto" w:fill="auto"/>
        <w:bidi w:val="0"/>
        <w:spacing w:before="0" w:after="0"/>
        <w:ind w:left="0" w:right="0" w:firstLine="740"/>
        <w:jc w:val="both"/>
      </w:pPr>
      <w:r>
        <w:rPr>
          <w:rStyle w:val="CharStyle14"/>
        </w:rPr>
        <w:t>Obowiązek przeprowadzenia oceny oddziaływania na środowisko dla przedsięwzięć mogących potencjalnie znacząco oddziaływać na środowisko, ustalany jest z uwzględnieniem wymagań, o których mowa w art. 63 ust. 1 ustawy o udostępnianiu informacji o środowisku i jego ochronie, udziale społeczeństwa w ochronie środowiska oraz o ocenach oddziaływania na środowisko. Dlatego też, biorąc pod uwagę uwarunkowania wymienione w art. 63 ust. 1 ustawy ooś przeanalizowano: skalę i charakter inwestycji, wielkość zajmowanego terenu, zakres robót związanych z realizacją inwestycji, prawdopodobieństwo, czas trwania, zasięg oddziaływania, możliwości ograniczenia oddziaływania oraz jego odwracalność, powiązania z innymi przedsięwzięciami, a także wykorzystanie zasobów naturalnych, różnorodność biologiczną, emisję i uciążliwości związane z eksploatacją przedsięwzięcia, gęstość zaludnienia wokół przedsięwzięcia oraz jego usytuowanie względem obszarów wymagających specjalnej ochrony ze względu na występowanie gatunków roślin i zwierząt, ich siedlisk lub siedlisk przyrodniczych objętych ochroną, w tym obszarów Natura 2000.</w:t>
      </w:r>
    </w:p>
    <w:p>
      <w:pPr>
        <w:pStyle w:val="Style13"/>
        <w:keepNext w:val="0"/>
        <w:keepLines w:val="0"/>
        <w:widowControl w:val="0"/>
        <w:shd w:val="clear" w:color="auto" w:fill="auto"/>
        <w:bidi w:val="0"/>
        <w:spacing w:before="0" w:after="0"/>
        <w:ind w:left="0" w:right="0" w:firstLine="740"/>
        <w:jc w:val="both"/>
      </w:pPr>
      <w:r>
        <w:rPr>
          <w:rStyle w:val="CharStyle14"/>
        </w:rPr>
        <w:t>Planowane przedsięwzięcie polega na budowie farmy fotowoltaicznej o mocy do 1 MW wraz z infrastrukturą towarzyszącą na działce o nr ewid. 32/2 obręb Pierzwin, gmina Nowogród Bobrzański. Powierzchnia działki wynosi 8,5408 ha. Planowana inwestycja zajmować będzie powierzchnię do 2 ha.</w:t>
      </w:r>
      <w:r>
        <w:br w:type="page"/>
      </w:r>
    </w:p>
    <w:p>
      <w:pPr>
        <w:pStyle w:val="Style13"/>
        <w:keepNext w:val="0"/>
        <w:keepLines w:val="0"/>
        <w:widowControl w:val="0"/>
        <w:shd w:val="clear" w:color="auto" w:fill="auto"/>
        <w:bidi w:val="0"/>
        <w:spacing w:before="0" w:after="0" w:line="262" w:lineRule="auto"/>
        <w:ind w:left="0" w:right="0" w:firstLine="0"/>
        <w:jc w:val="both"/>
      </w:pPr>
      <w:r>
        <w:rPr>
          <w:rStyle w:val="CharStyle14"/>
        </w:rPr>
        <w:t>Dla terenu inwestycji brak jest miejscowego planu zagospodarowania przestrzennego. Bezpośrednie sąsiedztwo planowanego przedsięwzięcia stanowią tereny rolne i leśne. Najbliższa zwarta zabudowa mieszkalna położona jest w odległości ok. 600 m od miejsca realizacji inwestycji.</w:t>
      </w:r>
    </w:p>
    <w:p>
      <w:pPr>
        <w:pStyle w:val="Style13"/>
        <w:keepNext w:val="0"/>
        <w:keepLines w:val="0"/>
        <w:widowControl w:val="0"/>
        <w:shd w:val="clear" w:color="auto" w:fill="auto"/>
        <w:bidi w:val="0"/>
        <w:spacing w:before="0" w:after="0" w:line="262" w:lineRule="auto"/>
        <w:ind w:left="0" w:right="0" w:firstLine="0"/>
        <w:jc w:val="both"/>
      </w:pPr>
      <w:r>
        <w:rPr>
          <w:rStyle w:val="CharStyle14"/>
        </w:rPr>
        <w:t>W ramach inwestycji planuje się montaż:</w:t>
      </w:r>
    </w:p>
    <w:p>
      <w:pPr>
        <w:pStyle w:val="Style13"/>
        <w:keepNext w:val="0"/>
        <w:keepLines w:val="0"/>
        <w:widowControl w:val="0"/>
        <w:numPr>
          <w:ilvl w:val="0"/>
          <w:numId w:val="5"/>
        </w:numPr>
        <w:shd w:val="clear" w:color="auto" w:fill="auto"/>
        <w:tabs>
          <w:tab w:pos="726" w:val="left"/>
        </w:tabs>
        <w:bidi w:val="0"/>
        <w:spacing w:before="0" w:after="0" w:line="262" w:lineRule="auto"/>
        <w:ind w:left="720" w:right="0" w:hanging="340"/>
        <w:jc w:val="both"/>
      </w:pPr>
      <w:r>
        <w:rPr>
          <w:rStyle w:val="CharStyle14"/>
        </w:rPr>
        <w:t>modułów fotowoltaicznych- ok. 2500 paneli fotowoltaicznych o mocy 400-1000 W (lub wyższej), które zamontowane zostaną na stalowych konstrukcjach montażowych. Konstrukcja mocowana będzie na pojedynczych podporach, które wbijane będą kafarem w ziemie na głębokość ok. 1,5 m w zależności od rodzaju gruntu. Wysokość całej konstrukcji nie przekroczy 3m.</w:t>
      </w:r>
    </w:p>
    <w:p>
      <w:pPr>
        <w:pStyle w:val="Style13"/>
        <w:keepNext w:val="0"/>
        <w:keepLines w:val="0"/>
        <w:widowControl w:val="0"/>
        <w:numPr>
          <w:ilvl w:val="0"/>
          <w:numId w:val="5"/>
        </w:numPr>
        <w:shd w:val="clear" w:color="auto" w:fill="auto"/>
        <w:tabs>
          <w:tab w:pos="726" w:val="left"/>
        </w:tabs>
        <w:bidi w:val="0"/>
        <w:spacing w:before="0" w:after="0" w:line="262" w:lineRule="auto"/>
        <w:ind w:left="720" w:right="0" w:hanging="340"/>
        <w:jc w:val="both"/>
      </w:pPr>
      <w:r>
        <w:rPr>
          <w:rStyle w:val="CharStyle14"/>
        </w:rPr>
        <w:t>falowników (inwerterów)- na terenie całej inwestycji przewiduje się usytuowanie do ok. 40 falowników.</w:t>
      </w:r>
    </w:p>
    <w:p>
      <w:pPr>
        <w:pStyle w:val="Style13"/>
        <w:keepNext w:val="0"/>
        <w:keepLines w:val="0"/>
        <w:widowControl w:val="0"/>
        <w:numPr>
          <w:ilvl w:val="0"/>
          <w:numId w:val="5"/>
        </w:numPr>
        <w:shd w:val="clear" w:color="auto" w:fill="auto"/>
        <w:tabs>
          <w:tab w:pos="706" w:val="left"/>
        </w:tabs>
        <w:bidi w:val="0"/>
        <w:spacing w:before="0" w:after="0" w:line="262" w:lineRule="auto"/>
        <w:ind w:left="0" w:right="0" w:firstLine="360"/>
        <w:jc w:val="both"/>
      </w:pPr>
      <w:r>
        <w:rPr>
          <w:rStyle w:val="CharStyle14"/>
        </w:rPr>
        <w:t>stacji transformatorowej rozdzielczej,</w:t>
      </w:r>
    </w:p>
    <w:p>
      <w:pPr>
        <w:pStyle w:val="Style13"/>
        <w:keepNext w:val="0"/>
        <w:keepLines w:val="0"/>
        <w:widowControl w:val="0"/>
        <w:numPr>
          <w:ilvl w:val="0"/>
          <w:numId w:val="5"/>
        </w:numPr>
        <w:shd w:val="clear" w:color="auto" w:fill="auto"/>
        <w:tabs>
          <w:tab w:pos="706" w:val="left"/>
        </w:tabs>
        <w:bidi w:val="0"/>
        <w:spacing w:before="0" w:after="0" w:line="262" w:lineRule="auto"/>
        <w:ind w:left="0" w:right="0" w:firstLine="360"/>
        <w:jc w:val="both"/>
      </w:pPr>
      <w:r>
        <w:rPr>
          <w:rStyle w:val="CharStyle14"/>
        </w:rPr>
        <w:t>przyłącza elektroenergetycznego,</w:t>
      </w:r>
    </w:p>
    <w:p>
      <w:pPr>
        <w:pStyle w:val="Style13"/>
        <w:keepNext w:val="0"/>
        <w:keepLines w:val="0"/>
        <w:widowControl w:val="0"/>
        <w:numPr>
          <w:ilvl w:val="0"/>
          <w:numId w:val="5"/>
        </w:numPr>
        <w:shd w:val="clear" w:color="auto" w:fill="auto"/>
        <w:tabs>
          <w:tab w:pos="706" w:val="left"/>
        </w:tabs>
        <w:bidi w:val="0"/>
        <w:spacing w:before="0" w:after="0" w:line="262" w:lineRule="auto"/>
        <w:ind w:left="0" w:right="0" w:firstLine="360"/>
        <w:jc w:val="both"/>
      </w:pPr>
      <w:r>
        <w:rPr>
          <w:rStyle w:val="CharStyle14"/>
        </w:rPr>
        <w:t>ścieżki technologiczne,</w:t>
      </w:r>
    </w:p>
    <w:p>
      <w:pPr>
        <w:pStyle w:val="Style13"/>
        <w:keepNext w:val="0"/>
        <w:keepLines w:val="0"/>
        <w:widowControl w:val="0"/>
        <w:numPr>
          <w:ilvl w:val="0"/>
          <w:numId w:val="5"/>
        </w:numPr>
        <w:shd w:val="clear" w:color="auto" w:fill="auto"/>
        <w:tabs>
          <w:tab w:pos="706" w:val="left"/>
        </w:tabs>
        <w:bidi w:val="0"/>
        <w:spacing w:before="0" w:after="0" w:line="262" w:lineRule="auto"/>
        <w:ind w:left="0" w:right="0" w:firstLine="360"/>
        <w:jc w:val="both"/>
      </w:pPr>
      <w:r>
        <w:rPr>
          <w:rStyle w:val="CharStyle14"/>
        </w:rPr>
        <w:t>ogrodzenie instalacji,</w:t>
      </w:r>
    </w:p>
    <w:p>
      <w:pPr>
        <w:pStyle w:val="Style13"/>
        <w:keepNext w:val="0"/>
        <w:keepLines w:val="0"/>
        <w:widowControl w:val="0"/>
        <w:numPr>
          <w:ilvl w:val="0"/>
          <w:numId w:val="5"/>
        </w:numPr>
        <w:shd w:val="clear" w:color="auto" w:fill="auto"/>
        <w:tabs>
          <w:tab w:pos="726" w:val="left"/>
        </w:tabs>
        <w:bidi w:val="0"/>
        <w:spacing w:before="0" w:after="0" w:line="262" w:lineRule="auto"/>
        <w:ind w:left="720" w:right="0" w:hanging="340"/>
        <w:jc w:val="both"/>
      </w:pPr>
      <w:r>
        <w:rPr>
          <w:rStyle w:val="CharStyle14"/>
        </w:rPr>
        <w:t>inne niezbędne do funkcjonowania przedsięwzięcia urządzenia infrastruktury w urządzenia monitoringu elektrowni, systemy ochrony obiektu, tj. kamery monitoringu wizyjnego, systemy alarmowe oraz kontroli dostępu.</w:t>
      </w:r>
    </w:p>
    <w:p>
      <w:pPr>
        <w:pStyle w:val="Style13"/>
        <w:keepNext w:val="0"/>
        <w:keepLines w:val="0"/>
        <w:widowControl w:val="0"/>
        <w:numPr>
          <w:ilvl w:val="0"/>
          <w:numId w:val="5"/>
        </w:numPr>
        <w:shd w:val="clear" w:color="auto" w:fill="auto"/>
        <w:tabs>
          <w:tab w:pos="726" w:val="left"/>
        </w:tabs>
        <w:bidi w:val="0"/>
        <w:spacing w:before="0" w:after="100" w:line="262" w:lineRule="auto"/>
        <w:ind w:left="720" w:right="0" w:hanging="340"/>
        <w:jc w:val="both"/>
      </w:pPr>
      <w:r>
        <w:rPr>
          <w:rStyle w:val="CharStyle14"/>
        </w:rPr>
        <w:t>Opcjonalnie planuje się kontenerowy magazyn energii posadowiony na gruncie lub konstrukcji palowej.</w:t>
      </w:r>
    </w:p>
    <w:p>
      <w:pPr>
        <w:pStyle w:val="Style13"/>
        <w:keepNext w:val="0"/>
        <w:keepLines w:val="0"/>
        <w:widowControl w:val="0"/>
        <w:shd w:val="clear" w:color="auto" w:fill="auto"/>
        <w:bidi w:val="0"/>
        <w:spacing w:before="0" w:after="100"/>
        <w:ind w:left="0" w:right="0" w:firstLine="0"/>
        <w:jc w:val="both"/>
      </w:pPr>
      <w:r>
        <w:rPr>
          <w:rStyle w:val="CharStyle14"/>
        </w:rPr>
        <w:t xml:space="preserve">Uwzględniając łącznie uwarunkowania związane z kwalifikowaniem przedsięwzięcia do przeprowadzenia oceny oddziaływania na środowisko, określone w art. 63 ustawy o ooś, po analizie wniosku o wydanie decyzji o środowiskowych uwarunkowaniach dla planowanego przedsięwzięcia oraz karty informacyjnej przedsięwzięcia, stwierdzono, że nie jest ono zlokalizowane na obszarach wodno-błotnych, oraz innych obszarach o płytkim zaleganiu wód podziemnych, w tym siedliskach łęgowych oraz ujściach rzek, na obszarach wybrzeży i w środowisku morskim, obszarach górskich lub leśnych. Przedsięwzięcie nie jest również zlokalizowane na obszarach objętych ochroną, w tym strefach ochronnych ujęć wód i obszarach ochronnych zbiorników wód śródlądowych, obszarach na których standardy jakości środowiska zostały przekroczone lub istnieje prawdopodobieństwo ich przekroczenia, obszarach o krajobrazie mającym znaczenie historyczne, kulturowe lub archeologiczne. Przedsięwzięcie nie jest również zlokalizowane w granicach obszarów objętych ochroną, w tym obszarach sieci Natura 2000, i nie będzie oddziaływać na gatunki i siedliska tam chronione oraz nie spowoduje fragmentacji obszarów. Najbliżej położonym obszarem objętych ochroną na podstawie ustawy z dnia 16 kwietnia 2004 r. o ochronie przyrody (t.j. Dz. U. z 2022 r. poz. 916.), w stosunku do planowanej inwestycji jest Broniszów PLH080033 zlokalizowany w odległości ok. 2,5 km od terenu inwestycji. Analizowana inwestycja położona jest poza obszarami głównych zbiorników wód podziemnych i obszarami szczególnego zagrożenia powodzią. Przedsięwzięcie znajduje się w obszarze projektowanego korytarza ekologicznego Zielona Góra (o przebiegu podanym na stronie: </w:t>
      </w:r>
      <w:r>
        <w:fldChar w:fldCharType="begin"/>
      </w:r>
      <w:r>
        <w:rPr/>
        <w:instrText> HYPERLINK "http://geoserwis.gdos.gov.pl/" </w:instrText>
      </w:r>
      <w:r>
        <w:fldChar w:fldCharType="separate"/>
      </w:r>
      <w:r>
        <w:rPr>
          <w:rStyle w:val="CharStyle14"/>
          <w:color w:val="2A568C"/>
          <w:u w:val="single"/>
          <w:lang w:val="en-US" w:eastAsia="en-US" w:bidi="en-US"/>
        </w:rPr>
        <w:t>http://geoserwis.gdos.gov.pl/</w:t>
      </w:r>
      <w:r>
        <w:fldChar w:fldCharType="end"/>
      </w:r>
      <w:r>
        <w:rPr>
          <w:rStyle w:val="CharStyle14"/>
          <w:color w:val="2A568C"/>
          <w:u w:val="single"/>
          <w:lang w:val="en-US" w:eastAsia="en-US" w:bidi="en-US"/>
        </w:rPr>
        <w:t>)</w:t>
      </w:r>
      <w:r>
        <w:rPr>
          <w:rStyle w:val="CharStyle14"/>
          <w:color w:val="2A568C"/>
          <w:lang w:val="en-US" w:eastAsia="en-US" w:bidi="en-US"/>
        </w:rPr>
        <w:t xml:space="preserve">. </w:t>
      </w:r>
      <w:r>
        <w:rPr>
          <w:rStyle w:val="CharStyle14"/>
        </w:rPr>
        <w:t>Rolą korytarza ekologicznego jest zapewnienie łączności w skali całego kraju i w skali międzynarodowej. Inwestycja nie będzie miała istotnego, negatywnego wpływu na ww. projektowany lądowy korytarz ekologiczny. Na terenie planowanej inwestycji nie występują cieki naturalne. Działka nr 32/2 graniczy z rowami melioracyjnymi (dz. nr 31/4, rów nie wydzielony z działki nr 32/1) i jest pod wpływem ich oddziaływania.</w:t>
      </w:r>
    </w:p>
    <w:p>
      <w:pPr>
        <w:pStyle w:val="Style13"/>
        <w:keepNext w:val="0"/>
        <w:keepLines w:val="0"/>
        <w:widowControl w:val="0"/>
        <w:shd w:val="clear" w:color="auto" w:fill="auto"/>
        <w:bidi w:val="0"/>
        <w:spacing w:before="0" w:after="100"/>
        <w:ind w:left="0" w:right="0" w:firstLine="0"/>
        <w:jc w:val="both"/>
      </w:pPr>
      <w:r>
        <w:rPr>
          <w:rStyle w:val="CharStyle14"/>
        </w:rPr>
        <w:t>Etap realizacji inwestycji nie będzie związany ze znaczącymi oddziaływaniami. Panele będą montowane na stalowych stelażach wbijanych w ziemię. Ponadto, w ziemi przebiegać będą kable elektryczne. W głównej mierze występować będzie emisja hałasu i niezorganizowana emisja zanieczyszczeń do powietrza, której źródłem będą maszyny i urządzenia budowlane. Zarówno transport elementów konstrukcyjnych i infrastruktury technicznej, jak i prace budowlane prowadzone będą wyłącznie w porze dziennej. Zaplecze budowy wyposażone będzie w przenośne toalety. Odpady powstające podczas realizacji przedsięwzięcia będą magazynowane selektywnie, w miejscach gwarantujących bezpieczne magazynowanie i przekazywane odbiorcom posiadającym stosowne zezwolenia, zgodnie z obowiązującymi przepisami. Wody opadowe lub roztopowe z terenu inwestycji odprowadzane będą w sposób niezorganizowany do gruntu w granicach działki, bez powodowania oddziaływania na tereny</w:t>
        <w:br w:type="page"/>
      </w:r>
      <w:r>
        <w:rPr>
          <w:rStyle w:val="CharStyle14"/>
        </w:rPr>
        <w:t>sąsiednie. Oddziaływania na etapie realizacji będą miały charakter krótkookresowy, odwracalny i lokalny oraz ustaną po zakończeniu budowy.</w:t>
      </w:r>
    </w:p>
    <w:p>
      <w:pPr>
        <w:pStyle w:val="Style13"/>
        <w:keepNext w:val="0"/>
        <w:keepLines w:val="0"/>
        <w:widowControl w:val="0"/>
        <w:shd w:val="clear" w:color="auto" w:fill="auto"/>
        <w:bidi w:val="0"/>
        <w:spacing w:before="0" w:after="0"/>
        <w:ind w:left="0" w:right="0" w:firstLine="0"/>
        <w:jc w:val="both"/>
      </w:pPr>
      <w:r>
        <w:rPr>
          <w:rStyle w:val="CharStyle14"/>
        </w:rPr>
        <w:t>Z uwagi na rodzaj planowanej inwestycji, etap użytkowania nie będzie związany ze znaczącą emisją hałasu, czy emisją zanieczyszczeń do powietrza. Źródłem emisji hałasu będą przede wszystkim falowniki oraz stacja transformatorowa wyposażona w transformator olejowy lub suchy. W przypadku montażu transformatora olejowego stacja transformatorowa zostanie wyposażona w szczelną misę olejową, która w razie awarii będzie w stanie przyjąć minimum 100% zawartości cieczy transformatorowej. Rozwiązanie to będzie chroniło środowisko przed przedostaniem się do niego ww. substancji ciekłych. Na etapie eksploatacji zastosowane zostaną środki ograniczające ewentualne oddziaływania na środowisko, tj.: chłodzenie instalacji poprzez obieg naturalny powietrza, bez wykorzystania wentylatorów, usytuowanie transformatora wewnątrz kontenera- ograniczy to ewentualną emisję hałasu, a także potencjalne pole elektromagnetyczne, wykonanie powłok antyrefleksyjnych, co zminimalizuje efekt odbicia. Mając na uwadze skalę i odległość planowanej elektrowni od zabudowy mieszkaniowej, brak jest przesłanek do uznania oddziaływania w tym zakresie za znaczące. Inwestycja nie wiąże się z poborem wody. Na terenie inwestycji nie będą wytwarzane ścieki. Czyszczenie paneli będzie odbywało się specjalistycznym sprzętem, który nie wymaga dostępu do wody bieżącej bez użycia detergentów. W przypadku konieczności mycia dużych zabrudzeń dopuszcza się możliwość użycia środków biodegradowalnych.</w:t>
      </w:r>
    </w:p>
    <w:p>
      <w:pPr>
        <w:pStyle w:val="Style13"/>
        <w:keepNext w:val="0"/>
        <w:keepLines w:val="0"/>
        <w:widowControl w:val="0"/>
        <w:shd w:val="clear" w:color="auto" w:fill="auto"/>
        <w:bidi w:val="0"/>
        <w:spacing w:before="0" w:after="0"/>
        <w:ind w:left="0" w:right="0" w:firstLine="740"/>
        <w:jc w:val="both"/>
      </w:pPr>
      <w:r>
        <w:rPr>
          <w:rStyle w:val="CharStyle14"/>
        </w:rPr>
        <w:t>Odnosząc się do art. 63 ust. 1 ustawy ooś, na podstawie przedstawionych materiałów stwierdzono, że teren przeznaczony pod inwestycję zlokalizowany jest w granicach jednostki planistycznej gospodarowania wodami- jednolitej części wód powierzchniowych (JCWP) - Czarna Struga od źródła do Mirotki o kodzie PLRW60001715385, która została oceniona jako silnie zmieniona część wód o złym stanie, zagrożona nieosiągnięciem celu środowiskowego jakim jest dobry potencjał ekologiczny i dobry stan chemiczny. Dla JCWP Czarna Struga od źródła do Mirotki o kodzie PLRW60001715385 wyznaczono derogację polegającą na przedłużeniu terminu osiągnięcia celu środowiskowego do roku 2021 ze względu na brak możliwości technicznych oraz dysproporcjonalne koszty.</w:t>
      </w:r>
    </w:p>
    <w:p>
      <w:pPr>
        <w:pStyle w:val="Style13"/>
        <w:keepNext w:val="0"/>
        <w:keepLines w:val="0"/>
        <w:widowControl w:val="0"/>
        <w:shd w:val="clear" w:color="auto" w:fill="auto"/>
        <w:bidi w:val="0"/>
        <w:spacing w:before="0" w:after="0"/>
        <w:ind w:left="0" w:right="0" w:firstLine="0"/>
        <w:jc w:val="both"/>
      </w:pPr>
      <w:r>
        <w:rPr>
          <w:rStyle w:val="CharStyle14"/>
        </w:rPr>
        <w:t>Przedmiotowy obszar znajduje się w obrębie jednolitej części wód podziemnych (JCWPd) nr 78 o kodzie PLGW600078, która charakteryzuje się dobrym stanem ilościowym i dobrym stanem chemicznym. JCWPd została oceniona jako niezagrożona nieosiągnięciem celu środowiskowego, jakim jest dobry stan ilościowy i chemiczny.</w:t>
      </w:r>
    </w:p>
    <w:p>
      <w:pPr>
        <w:pStyle w:val="Style13"/>
        <w:keepNext w:val="0"/>
        <w:keepLines w:val="0"/>
        <w:widowControl w:val="0"/>
        <w:shd w:val="clear" w:color="auto" w:fill="auto"/>
        <w:bidi w:val="0"/>
        <w:spacing w:before="0" w:after="0"/>
        <w:ind w:left="0" w:right="0" w:firstLine="0"/>
        <w:jc w:val="both"/>
      </w:pPr>
      <w:r>
        <w:rPr>
          <w:rStyle w:val="CharStyle14"/>
        </w:rPr>
        <w:t>Planowana inwestycja nie znajduje się w obrębie Głównego Zbiornika Wód Podziemnych (GZWP) oraz na obszarze zagrożenia i ryzyka powodziowego. Nie znajduje się w obrębie strefy ochronnej ujęcia wody. Najbliższe ujęcie wód podziemnych do celów zbiorowego zaopatrzenia w wodę znajduje się w Pielicach. Składa się z 2 studni położonych na działce nr ewid. 145/4 obręb 0014 Pierzwin. Ujęcie posiada ustanowioną strefę ochrony bezpośredniej ujęcia wód podziemnych. Odległość ujęcia od terenu inwestycji to ok. 1,25 km. Nie przewiduje się negatywnego wpływu inwestycji na przedmiotowe ujęcie wody. Inwestycja nie znajduje się na obszarach narażonych na niebezpieczeństwo powodzi.</w:t>
      </w:r>
    </w:p>
    <w:p>
      <w:pPr>
        <w:pStyle w:val="Style13"/>
        <w:keepNext w:val="0"/>
        <w:keepLines w:val="0"/>
        <w:widowControl w:val="0"/>
        <w:shd w:val="clear" w:color="auto" w:fill="auto"/>
        <w:bidi w:val="0"/>
        <w:spacing w:before="0" w:after="0"/>
        <w:ind w:left="0" w:right="0" w:firstLine="740"/>
        <w:jc w:val="both"/>
      </w:pPr>
      <w:r>
        <w:rPr>
          <w:rStyle w:val="CharStyle14"/>
        </w:rPr>
        <w:t>Planowane przedsięwzięcie nie jest zaliczane do zakładów stwarzających zagrożenie wystąpienia poważnej awarii przemysłowej w rozumieniu art. 248 ustawy z dnia 27 kwietnia 200Ir. Prawo ochrony środowiska (t.j. Dz. U. z 2021 r. poz. 1973 ze zm.), nie występuje też w wykazie obiektów, wymienionych w art. 135 ust. 1 cyt. ustawy, dla których mogą być tworzone obszary ograniczonego użytkowania.</w:t>
      </w:r>
    </w:p>
    <w:p>
      <w:pPr>
        <w:pStyle w:val="Style13"/>
        <w:keepNext w:val="0"/>
        <w:keepLines w:val="0"/>
        <w:widowControl w:val="0"/>
        <w:shd w:val="clear" w:color="auto" w:fill="auto"/>
        <w:bidi w:val="0"/>
        <w:spacing w:before="0" w:after="0"/>
        <w:ind w:left="0" w:right="0" w:firstLine="740"/>
        <w:jc w:val="both"/>
      </w:pPr>
      <w:r>
        <w:rPr>
          <w:rStyle w:val="CharStyle14"/>
        </w:rPr>
        <w:t>Planowana inwestycja związana jest z wykorzystywaniem energii słonecznej, zatem zalicza się do odnawialnych źródeł energii, tym samym wpisuje się trend ograniczania zużycia paliw kopalnych, a w konsekwencji wpływu na spowolnienie ewentualnych zmian klimatu. Inwestycja zlokalizowana będzie na terenie użytkowanym przez człowieka. Przedsięwzięcie nie będzie źródłem emisji gazów cieplarnianych. Inwestycja nie spowoduje także zajęcia terenów zdolnych do pochłaniania tego rodzaju gazów. Podobnie nie wpłynie na możliwość retencji wód powodziowych na tych terenach. Z tych samych względów nie wpłynie ona na różnorodność biologiczną na tym obszarze.</w:t>
      </w:r>
    </w:p>
    <w:p>
      <w:pPr>
        <w:pStyle w:val="Style13"/>
        <w:keepNext w:val="0"/>
        <w:keepLines w:val="0"/>
        <w:widowControl w:val="0"/>
        <w:shd w:val="clear" w:color="auto" w:fill="auto"/>
        <w:bidi w:val="0"/>
        <w:spacing w:before="0" w:after="40"/>
        <w:ind w:left="0" w:right="0" w:firstLine="740"/>
        <w:jc w:val="both"/>
      </w:pPr>
      <w:r>
        <w:rPr>
          <w:rStyle w:val="CharStyle14"/>
        </w:rPr>
        <w:t>Biorąc pod uwagę zakres, jak i rodzaj przedsięwzięcia, odnosząc się do zapisów w art. 63 ust. 1 pkt 3 lit. b ustawy ooś należy uznać, że realizacja wnioskowanej inwestycji nie pociągnie za sobą zagrożeń dla środowiska i nie będzie powodowała transgranicznego oddziaływania.</w:t>
      </w:r>
      <w:r>
        <w:br w:type="page"/>
      </w:r>
    </w:p>
    <w:p>
      <w:pPr>
        <w:pStyle w:val="Style13"/>
        <w:keepNext w:val="0"/>
        <w:keepLines w:val="0"/>
        <w:widowControl w:val="0"/>
        <w:shd w:val="clear" w:color="auto" w:fill="auto"/>
        <w:bidi w:val="0"/>
        <w:spacing w:before="0" w:after="240"/>
        <w:ind w:left="0" w:right="0" w:firstLine="740"/>
        <w:jc w:val="both"/>
      </w:pPr>
      <w:r>
        <w:rPr>
          <w:rStyle w:val="CharStyle14"/>
        </w:rPr>
        <w:t>Po zapoznaniu się z wnioskiem, kartą informacyjną przedsięwzięcia oraz szczegółowym prześledzeniem nie tylko bezpośrednich ale i pośrednich skutków działań przedmiotowego przedsięwzięcia, uwzględniając opinie dotyczące oddziaływania inwestycji typu elektrownia fotowoltaiczna, zważywszy na uwarunkowania określone w art. 63 ust. 1 ustawy ooś, biorąc pod uwagę zakres planowanego przedsięwzięcia, jego charakter, skalę i brak ponadnormatywnego oddziaływania na środowisko, jak również brak negatywnego wpływu na obszary wymagające specjalnej ochrony ze względu na występowanie gatunków roślin i zwierząt, ich siedlisk lub siedlisk przyrodniczych objętych ochroną, organ uznał, że nie ma potrzeby przeprowadzenia oceny oddziaływania wnioskowanego zamierzenia inwestycyjnego na środowisko.</w:t>
      </w:r>
    </w:p>
    <w:p>
      <w:pPr>
        <w:pStyle w:val="Style13"/>
        <w:keepNext w:val="0"/>
        <w:keepLines w:val="0"/>
        <w:widowControl w:val="0"/>
        <w:shd w:val="clear" w:color="auto" w:fill="auto"/>
        <w:bidi w:val="0"/>
        <w:spacing w:before="0" w:after="0" w:line="240" w:lineRule="auto"/>
        <w:ind w:left="0" w:right="0" w:firstLine="740"/>
        <w:jc w:val="both"/>
      </w:pPr>
      <w:r>
        <w:rPr>
          <w:rStyle w:val="CharStyle14"/>
        </w:rPr>
        <w:t>W związku z powyższym, orzeczono jak w sentencji.</w:t>
      </w:r>
    </w:p>
    <w:p>
      <w:pPr>
        <w:widowControl w:val="0"/>
        <w:spacing w:line="1" w:lineRule="exact"/>
        <w:sectPr>
          <w:footnotePr>
            <w:pos w:val="pageBottom"/>
            <w:numFmt w:val="decimal"/>
            <w:numRestart w:val="continuous"/>
          </w:footnotePr>
          <w:type w:val="continuous"/>
          <w:pgSz w:w="11900" w:h="16840"/>
          <w:pgMar w:top="1510" w:right="1314" w:bottom="1159" w:left="1418" w:header="1082" w:footer="3" w:gutter="0"/>
          <w:cols w:space="720"/>
          <w:noEndnote/>
          <w:rtlGutter w:val="0"/>
          <w:docGrid w:linePitch="360"/>
        </w:sectPr>
      </w:pPr>
      <w:r>
        <w:drawing>
          <wp:anchor distT="0" distB="0" distL="0" distR="0" simplePos="0" relativeHeight="125829381" behindDoc="0" locked="0" layoutInCell="1" allowOverlap="1">
            <wp:simplePos x="0" y="0"/>
            <wp:positionH relativeFrom="page">
              <wp:posOffset>3314065</wp:posOffset>
            </wp:positionH>
            <wp:positionV relativeFrom="paragraph">
              <wp:posOffset>0</wp:posOffset>
            </wp:positionV>
            <wp:extent cx="1298575" cy="1304290"/>
            <wp:wrapTopAndBottom/>
            <wp:docPr id="9" name="Shape 9"/>
            <a:graphic xmlns:a="http://schemas.openxmlformats.org/drawingml/2006/main">
              <a:graphicData uri="http://schemas.openxmlformats.org/drawingml/2006/picture">
                <pic:pic xmlns:pic="http://schemas.openxmlformats.org/drawingml/2006/picture">
                  <pic:nvPicPr>
                    <pic:cNvPr id="10" name="Picture box 10"/>
                    <pic:cNvPicPr/>
                  </pic:nvPicPr>
                  <pic:blipFill>
                    <a:blip r:embed="rId8"/>
                    <a:stretch/>
                  </pic:blipFill>
                  <pic:spPr>
                    <a:xfrm>
                      <a:ext cx="1298575" cy="1304290"/>
                    </a:xfrm>
                    <a:prstGeom prst="rect"/>
                  </pic:spPr>
                </pic:pic>
              </a:graphicData>
            </a:graphic>
          </wp:anchor>
        </w:drawing>
      </w:r>
      <w:r>
        <w:drawing>
          <wp:anchor distT="244475" distB="224155" distL="0" distR="0" simplePos="0" relativeHeight="125829382" behindDoc="0" locked="0" layoutInCell="1" allowOverlap="1">
            <wp:simplePos x="0" y="0"/>
            <wp:positionH relativeFrom="page">
              <wp:posOffset>5156835</wp:posOffset>
            </wp:positionH>
            <wp:positionV relativeFrom="paragraph">
              <wp:posOffset>244475</wp:posOffset>
            </wp:positionV>
            <wp:extent cx="1804670" cy="835025"/>
            <wp:wrapTopAndBottom/>
            <wp:docPr id="11" name="Shape 11"/>
            <a:graphic xmlns:a="http://schemas.openxmlformats.org/drawingml/2006/main">
              <a:graphicData uri="http://schemas.openxmlformats.org/drawingml/2006/picture">
                <pic:pic xmlns:pic="http://schemas.openxmlformats.org/drawingml/2006/picture">
                  <pic:nvPicPr>
                    <pic:cNvPr id="12" name="Picture box 12"/>
                    <pic:cNvPicPr/>
                  </pic:nvPicPr>
                  <pic:blipFill>
                    <a:blip r:embed="rId10"/>
                    <a:stretch/>
                  </pic:blipFill>
                  <pic:spPr>
                    <a:xfrm>
                      <a:ext cx="1804670" cy="835025"/>
                    </a:xfrm>
                    <a:prstGeom prst="rect"/>
                  </pic:spPr>
                </pic:pic>
              </a:graphicData>
            </a:graphic>
          </wp:anchor>
        </w:drawing>
      </w:r>
      <w:r>
        <mc:AlternateContent>
          <mc:Choice Requires="wps">
            <w:drawing>
              <wp:anchor distT="328930" distB="685800" distL="0" distR="0" simplePos="0" relativeHeight="125829383" behindDoc="0" locked="0" layoutInCell="1" allowOverlap="1">
                <wp:simplePos x="0" y="0"/>
                <wp:positionH relativeFrom="page">
                  <wp:posOffset>5019675</wp:posOffset>
                </wp:positionH>
                <wp:positionV relativeFrom="paragraph">
                  <wp:posOffset>328930</wp:posOffset>
                </wp:positionV>
                <wp:extent cx="393065" cy="288290"/>
                <wp:wrapTopAndBottom/>
                <wp:docPr id="13" name="Shape 13"/>
                <a:graphic xmlns:a="http://schemas.openxmlformats.org/drawingml/2006/main">
                  <a:graphicData uri="http://schemas.microsoft.com/office/word/2010/wordprocessingShape">
                    <wps:wsp>
                      <wps:cNvSpPr txBox="1"/>
                      <wps:spPr>
                        <a:xfrm>
                          <a:ext cx="393065" cy="288290"/>
                        </a:xfrm>
                        <a:prstGeom prst="rect"/>
                        <a:noFill/>
                      </wps:spPr>
                      <wps:txbx>
                        <w:txbxContent>
                          <w:p>
                            <w:pPr>
                              <w:pStyle w:val="Style13"/>
                              <w:keepNext w:val="0"/>
                              <w:keepLines w:val="0"/>
                              <w:widowControl w:val="0"/>
                              <w:shd w:val="clear" w:color="auto" w:fill="auto"/>
                              <w:bidi w:val="0"/>
                              <w:spacing w:before="0" w:after="0" w:line="214" w:lineRule="auto"/>
                              <w:ind w:left="0" w:right="0" w:firstLine="400"/>
                              <w:jc w:val="both"/>
                            </w:pPr>
                            <w:r>
                              <w:rPr>
                                <w:rStyle w:val="CharStyle14"/>
                                <w:color w:val="DE8593"/>
                              </w:rPr>
                              <w:t xml:space="preserve">Z </w:t>
                            </w:r>
                            <w:r>
                              <w:rPr>
                                <w:rStyle w:val="CharStyle14"/>
                                <w:i/>
                                <w:iCs/>
                                <w:color w:val="DE8593"/>
                              </w:rPr>
                              <w:t>mgrinż</w:t>
                            </w:r>
                          </w:p>
                        </w:txbxContent>
                      </wps:txbx>
                      <wps:bodyPr lIns="0" tIns="0" rIns="0" bIns="0">
                        <a:noAutoFit/>
                      </wps:bodyPr>
                    </wps:wsp>
                  </a:graphicData>
                </a:graphic>
              </wp:anchor>
            </w:drawing>
          </mc:Choice>
          <mc:Fallback>
            <w:pict>
              <v:shape id="_x0000_s1039" type="#_x0000_t202" style="position:absolute;margin-left:395.25pt;margin-top:25.900000000000002pt;width:30.949999999999999pt;height:22.699999999999999pt;z-index:-125829370;mso-wrap-distance-left:0;mso-wrap-distance-top:25.900000000000002pt;mso-wrap-distance-right:0;mso-wrap-distance-bottom:54.pt;mso-position-horizontal-relative:page" filled="f" stroked="f">
                <v:textbox inset="0,0,0,0">
                  <w:txbxContent>
                    <w:p>
                      <w:pPr>
                        <w:pStyle w:val="Style13"/>
                        <w:keepNext w:val="0"/>
                        <w:keepLines w:val="0"/>
                        <w:widowControl w:val="0"/>
                        <w:shd w:val="clear" w:color="auto" w:fill="auto"/>
                        <w:bidi w:val="0"/>
                        <w:spacing w:before="0" w:after="0" w:line="214" w:lineRule="auto"/>
                        <w:ind w:left="0" w:right="0" w:firstLine="400"/>
                        <w:jc w:val="both"/>
                      </w:pPr>
                      <w:r>
                        <w:rPr>
                          <w:rStyle w:val="CharStyle14"/>
                          <w:color w:val="DE8593"/>
                        </w:rPr>
                        <w:t xml:space="preserve">Z </w:t>
                      </w:r>
                      <w:r>
                        <w:rPr>
                          <w:rStyle w:val="CharStyle14"/>
                          <w:i/>
                          <w:iCs/>
                          <w:color w:val="DE8593"/>
                        </w:rPr>
                        <w:t>mgrinż</w:t>
                      </w:r>
                    </w:p>
                  </w:txbxContent>
                </v:textbox>
                <w10:wrap type="topAndBottom" anchorx="page"/>
              </v:shape>
            </w:pict>
          </mc:Fallback>
        </mc:AlternateContent>
      </w:r>
    </w:p>
    <w:p>
      <w:pPr>
        <w:pStyle w:val="Style6"/>
        <w:keepNext w:val="0"/>
        <w:keepLines w:val="0"/>
        <w:widowControl w:val="0"/>
        <w:shd w:val="clear" w:color="auto" w:fill="auto"/>
        <w:bidi w:val="0"/>
        <w:spacing w:before="0" w:after="0"/>
        <w:ind w:left="0" w:right="0" w:firstLine="0"/>
        <w:jc w:val="center"/>
      </w:pPr>
      <w:r>
        <w:rPr>
          <w:rStyle w:val="CharStyle7"/>
          <w:b/>
          <w:bCs/>
        </w:rPr>
        <w:t>POUCZENIE</w:t>
      </w:r>
    </w:p>
    <w:p>
      <w:pPr>
        <w:pStyle w:val="Style6"/>
        <w:keepNext w:val="0"/>
        <w:keepLines w:val="0"/>
        <w:widowControl w:val="0"/>
        <w:numPr>
          <w:ilvl w:val="0"/>
          <w:numId w:val="7"/>
        </w:numPr>
        <w:shd w:val="clear" w:color="auto" w:fill="auto"/>
        <w:tabs>
          <w:tab w:pos="259" w:val="left"/>
        </w:tabs>
        <w:bidi w:val="0"/>
        <w:spacing w:before="0" w:after="0"/>
        <w:ind w:left="0" w:right="0" w:firstLine="0"/>
        <w:jc w:val="both"/>
      </w:pPr>
      <w:r>
        <w:rPr>
          <w:rStyle w:val="CharStyle7"/>
        </w:rPr>
        <w:t>Od niniejszej decyzji służy stronom odwołanie do Samorządowego Kolegium Odwoławczego w Zielonej Górze za pośrednictwem Burmistrza Nowogrodu Bobrzańskiego w terminie 14 dni od dnia doręczenia niniejszej decyzji.</w:t>
      </w:r>
    </w:p>
    <w:p>
      <w:pPr>
        <w:pStyle w:val="Style6"/>
        <w:keepNext w:val="0"/>
        <w:keepLines w:val="0"/>
        <w:widowControl w:val="0"/>
        <w:numPr>
          <w:ilvl w:val="0"/>
          <w:numId w:val="7"/>
        </w:numPr>
        <w:shd w:val="clear" w:color="auto" w:fill="auto"/>
        <w:tabs>
          <w:tab w:pos="259" w:val="left"/>
        </w:tabs>
        <w:bidi w:val="0"/>
        <w:spacing w:before="0" w:after="0"/>
        <w:ind w:left="0" w:right="0" w:firstLine="0"/>
        <w:jc w:val="both"/>
      </w:pPr>
      <w:r>
        <w:rPr>
          <w:rStyle w:val="CharStyle7"/>
        </w:rPr>
        <w:t>Zgodnie z art. 127a ustawy z dnia 14 czerwca 1960r.- Kodeks postępowania administracyjnego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pPr>
        <w:pStyle w:val="Style6"/>
        <w:keepNext w:val="0"/>
        <w:keepLines w:val="0"/>
        <w:widowControl w:val="0"/>
        <w:numPr>
          <w:ilvl w:val="0"/>
          <w:numId w:val="7"/>
        </w:numPr>
        <w:shd w:val="clear" w:color="auto" w:fill="auto"/>
        <w:tabs>
          <w:tab w:pos="262" w:val="left"/>
        </w:tabs>
        <w:bidi w:val="0"/>
        <w:spacing w:before="0" w:after="820"/>
        <w:ind w:left="0" w:right="0" w:firstLine="0"/>
        <w:jc w:val="both"/>
      </w:pPr>
      <w:r>
        <w:rPr>
          <w:rStyle w:val="CharStyle7"/>
        </w:rPr>
        <w:t>Niniejszą decyzję dołącza się do wniosku o wydanie decyzji, o których mowa w art. 72 ust. 1 ustawy z dnia 3 października 2008r. o udostępnianiu informacji o środowisku i jego ochronie, udziale społeczeństwa w ochronie środowiska oraz o ocenach oddziaływania na środowisko, oraz zgłoszenia, o którym mowa w art. 72 ust. la ustawy ooś. Złożenie wniosku lub dokonanie zgłoszenia następuje w terminie 6 lat od dnia, w którym decyzja o środowiskowych uwarunkowaniach stała się ostateczna. Jeżeli jednak realizacja przedsięwzięcia przebiegać będzie etapowo, 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6 lat od organu, który wydał decyzję o środowiskowych uwarunkowaniach, stanowisko, że realizacja planowanego przedsięwzięcia przebiega etapow'0 oraz że aktualne są warunki realizacji przedsięwzięcia określone w decyzji o środowiskowych uwarunkowaniach lub postanowieniu, o którym mowa w art. 90 ust. 1 ustawy ooś, jeżeli było wydane.</w:t>
      </w:r>
    </w:p>
    <w:p>
      <w:pPr>
        <w:pStyle w:val="Style21"/>
        <w:keepNext w:val="0"/>
        <w:keepLines w:val="0"/>
        <w:widowControl w:val="0"/>
        <w:shd w:val="clear" w:color="auto" w:fill="auto"/>
        <w:bidi w:val="0"/>
        <w:spacing w:before="0" w:after="0" w:line="240" w:lineRule="auto"/>
        <w:ind w:left="0" w:right="0" w:firstLine="0"/>
        <w:jc w:val="left"/>
      </w:pPr>
      <w:r>
        <w:rPr>
          <w:rStyle w:val="CharStyle22"/>
          <w:u w:val="single"/>
        </w:rPr>
        <w:t>Otrzymują:</w:t>
      </w:r>
    </w:p>
    <w:p>
      <w:pPr>
        <w:widowControl w:val="0"/>
        <w:spacing w:line="1" w:lineRule="exact"/>
      </w:pPr>
      <w:r>
        <w:drawing>
          <wp:anchor distT="235585" distB="534670" distL="237490" distR="242570" simplePos="0" relativeHeight="125829385" behindDoc="0" locked="0" layoutInCell="1" allowOverlap="1">
            <wp:simplePos x="0" y="0"/>
            <wp:positionH relativeFrom="page">
              <wp:posOffset>1155700</wp:posOffset>
            </wp:positionH>
            <wp:positionV relativeFrom="paragraph">
              <wp:posOffset>235585</wp:posOffset>
            </wp:positionV>
            <wp:extent cx="1146175" cy="267970"/>
            <wp:wrapTopAndBottom/>
            <wp:docPr id="15" name="Shape 15"/>
            <a:graphic xmlns:a="http://schemas.openxmlformats.org/drawingml/2006/main">
              <a:graphicData uri="http://schemas.openxmlformats.org/drawingml/2006/picture">
                <pic:pic xmlns:pic="http://schemas.openxmlformats.org/drawingml/2006/picture">
                  <pic:nvPicPr>
                    <pic:cNvPr id="16" name="Picture box 16"/>
                    <pic:cNvPicPr/>
                  </pic:nvPicPr>
                  <pic:blipFill>
                    <a:blip r:embed="rId12"/>
                    <a:stretch/>
                  </pic:blipFill>
                  <pic:spPr>
                    <a:xfrm>
                      <a:ext cx="1146175" cy="26797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918210</wp:posOffset>
                </wp:positionH>
                <wp:positionV relativeFrom="paragraph">
                  <wp:posOffset>0</wp:posOffset>
                </wp:positionV>
                <wp:extent cx="1625600" cy="265430"/>
                <wp:wrapNone/>
                <wp:docPr id="17" name="Shape 17"/>
                <a:graphic xmlns:a="http://schemas.openxmlformats.org/drawingml/2006/main">
                  <a:graphicData uri="http://schemas.microsoft.com/office/word/2010/wordprocessingShape">
                    <wps:wsp>
                      <wps:cNvSpPr txBox="1"/>
                      <wps:spPr>
                        <a:xfrm>
                          <a:ext cx="1625600" cy="265430"/>
                        </a:xfrm>
                        <a:prstGeom prst="rect"/>
                        <a:noFill/>
                      </wps:spPr>
                      <wps:txbx>
                        <w:txbxContent>
                          <w:p>
                            <w:pPr>
                              <w:pStyle w:val="Style2"/>
                              <w:keepNext w:val="0"/>
                              <w:keepLines w:val="0"/>
                              <w:widowControl w:val="0"/>
                              <w:shd w:val="clear" w:color="auto" w:fill="auto"/>
                              <w:bidi w:val="0"/>
                              <w:spacing w:before="0" w:after="0" w:line="295" w:lineRule="auto"/>
                              <w:ind w:left="340" w:right="0" w:firstLine="0"/>
                              <w:jc w:val="right"/>
                            </w:pPr>
                            <w:r>
                              <w:rPr>
                                <w:rStyle w:val="CharStyle3"/>
                              </w:rPr>
                              <w:t>1. ZENIT ENERGY Sp. z o.o. ul. Górna 5, 10-040 Olsztyn</w:t>
                            </w:r>
                          </w:p>
                        </w:txbxContent>
                      </wps:txbx>
                      <wps:bodyPr lIns="0" tIns="0" rIns="0" bIns="0">
                        <a:noAutoFit/>
                      </wps:bodyPr>
                    </wps:wsp>
                  </a:graphicData>
                </a:graphic>
              </wp:anchor>
            </w:drawing>
          </mc:Choice>
          <mc:Fallback>
            <w:pict>
              <v:shape id="_x0000_s1043" type="#_x0000_t202" style="position:absolute;margin-left:72.299999999999997pt;margin-top:0;width:128.pt;height:20.900000000000002pt;z-index:251657731;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95" w:lineRule="auto"/>
                        <w:ind w:left="340" w:right="0" w:firstLine="0"/>
                        <w:jc w:val="right"/>
                      </w:pPr>
                      <w:r>
                        <w:rPr>
                          <w:rStyle w:val="CharStyle3"/>
                        </w:rPr>
                        <w:t>1. ZENIT ENERGY Sp. z o.o. ul. Górna 5, 10-040 Olsztyn</w:t>
                      </w:r>
                    </w:p>
                  </w:txbxContent>
                </v:textbox>
                <w10:wrap anchorx="page"/>
              </v:shape>
            </w:pict>
          </mc:Fallback>
        </mc:AlternateContent>
      </w:r>
      <w:r>
        <w:drawing>
          <wp:anchor distT="901065" distB="0" distL="11430" distR="521335" simplePos="0" relativeHeight="125829386" behindDoc="0" locked="0" layoutInCell="1" allowOverlap="1">
            <wp:simplePos x="0" y="0"/>
            <wp:positionH relativeFrom="page">
              <wp:posOffset>1155700</wp:posOffset>
            </wp:positionH>
            <wp:positionV relativeFrom="paragraph">
              <wp:posOffset>901065</wp:posOffset>
            </wp:positionV>
            <wp:extent cx="1243330" cy="140335"/>
            <wp:wrapTopAndBottom/>
            <wp:docPr id="19" name="Shape 19"/>
            <a:graphic xmlns:a="http://schemas.openxmlformats.org/drawingml/2006/main">
              <a:graphicData uri="http://schemas.openxmlformats.org/drawingml/2006/picture">
                <pic:pic xmlns:pic="http://schemas.openxmlformats.org/drawingml/2006/picture">
                  <pic:nvPicPr>
                    <pic:cNvPr id="20" name="Picture box 20"/>
                    <pic:cNvPicPr/>
                  </pic:nvPicPr>
                  <pic:blipFill>
                    <a:blip r:embed="rId14"/>
                    <a:stretch/>
                  </pic:blipFill>
                  <pic:spPr>
                    <a:xfrm>
                      <a:ext cx="1243330" cy="140335"/>
                    </a:xfrm>
                    <a:prstGeom prst="rect"/>
                  </pic:spPr>
                </pic:pic>
              </a:graphicData>
            </a:graphic>
          </wp:anchor>
        </w:drawing>
      </w:r>
      <w:r>
        <mc:AlternateContent>
          <mc:Choice Requires="wps">
            <w:drawing>
              <wp:anchor distT="0" distB="0" distL="0" distR="0" simplePos="0" relativeHeight="503316486" behindDoc="0" locked="0" layoutInCell="1" allowOverlap="1">
                <wp:simplePos x="0" y="0"/>
                <wp:positionH relativeFrom="page">
                  <wp:posOffset>1144270</wp:posOffset>
                </wp:positionH>
                <wp:positionV relativeFrom="paragraph">
                  <wp:posOffset>516890</wp:posOffset>
                </wp:positionV>
                <wp:extent cx="1776095" cy="414020"/>
                <wp:wrapNone/>
                <wp:docPr id="21" name="Shape 21"/>
                <a:graphic xmlns:a="http://schemas.openxmlformats.org/drawingml/2006/main">
                  <a:graphicData uri="http://schemas.microsoft.com/office/word/2010/wordprocessingShape">
                    <wps:wsp>
                      <wps:cNvSpPr txBox="1"/>
                      <wps:spPr>
                        <a:xfrm>
                          <a:ext cx="1776095" cy="414020"/>
                        </a:xfrm>
                        <a:prstGeom prst="rect"/>
                        <a:noFill/>
                      </wps:spPr>
                      <wps:txbx>
                        <w:txbxContent>
                          <w:p>
                            <w:pPr>
                              <w:pStyle w:val="Style2"/>
                              <w:keepNext w:val="0"/>
                              <w:keepLines w:val="0"/>
                              <w:widowControl w:val="0"/>
                              <w:shd w:val="clear" w:color="auto" w:fill="auto"/>
                              <w:bidi w:val="0"/>
                              <w:spacing w:before="0" w:after="0" w:line="290" w:lineRule="auto"/>
                              <w:ind w:left="360" w:right="0" w:hanging="360"/>
                              <w:jc w:val="left"/>
                            </w:pPr>
                            <w:r>
                              <w:rPr>
                                <w:rStyle w:val="CharStyle3"/>
                              </w:rPr>
                              <w:t>4. PGL Lasy Państwowe Nadleśnictwo Nowa Sól ul. Ciepielowska 9, 67-100 Nowa Sól</w:t>
                            </w:r>
                          </w:p>
                        </w:txbxContent>
                      </wps:txbx>
                      <wps:bodyPr lIns="0" tIns="0" rIns="0" bIns="0">
                        <a:noAutoFit/>
                      </wps:bodyPr>
                    </wps:wsp>
                  </a:graphicData>
                </a:graphic>
              </wp:anchor>
            </w:drawing>
          </mc:Choice>
          <mc:Fallback>
            <w:pict>
              <v:shape id="_x0000_s1047" type="#_x0000_t202" style="position:absolute;margin-left:90.100000000000009pt;margin-top:40.700000000000003pt;width:139.84999999999999pt;height:32.600000000000001pt;z-index:251657733;mso-wrap-distance-left:0;mso-wrap-distance-right:0;mso-position-horizontal-relative:page" filled="f" stroked="f">
                <v:textbox inset="0,0,0,0">
                  <w:txbxContent>
                    <w:p>
                      <w:pPr>
                        <w:pStyle w:val="Style2"/>
                        <w:keepNext w:val="0"/>
                        <w:keepLines w:val="0"/>
                        <w:widowControl w:val="0"/>
                        <w:shd w:val="clear" w:color="auto" w:fill="auto"/>
                        <w:bidi w:val="0"/>
                        <w:spacing w:before="0" w:after="0" w:line="290" w:lineRule="auto"/>
                        <w:ind w:left="360" w:right="0" w:hanging="360"/>
                        <w:jc w:val="left"/>
                      </w:pPr>
                      <w:r>
                        <w:rPr>
                          <w:rStyle w:val="CharStyle3"/>
                        </w:rPr>
                        <w:t>4. PGL Lasy Państwowe Nadleśnictwo Nowa Sól ul. Ciepielowska 9, 67-100 Nowa Sól</w:t>
                      </w:r>
                    </w:p>
                  </w:txbxContent>
                </v:textbox>
                <w10:wrap anchorx="page"/>
              </v:shape>
            </w:pict>
          </mc:Fallback>
        </mc:AlternateContent>
      </w:r>
    </w:p>
    <w:p>
      <w:pPr>
        <w:pStyle w:val="Style21"/>
        <w:keepNext w:val="0"/>
        <w:keepLines w:val="0"/>
        <w:widowControl w:val="0"/>
        <w:numPr>
          <w:ilvl w:val="0"/>
          <w:numId w:val="9"/>
        </w:numPr>
        <w:shd w:val="clear" w:color="auto" w:fill="auto"/>
        <w:tabs>
          <w:tab w:pos="713" w:val="left"/>
        </w:tabs>
        <w:bidi w:val="0"/>
        <w:spacing w:before="0" w:after="0" w:line="240" w:lineRule="auto"/>
        <w:ind w:left="0" w:right="0" w:firstLine="360"/>
        <w:jc w:val="left"/>
      </w:pPr>
      <w:r>
        <w:rPr>
          <w:rStyle w:val="CharStyle22"/>
        </w:rPr>
        <w:t>Gmina Nowogród Bobrzański</w:t>
      </w:r>
    </w:p>
    <w:p>
      <w:pPr>
        <w:pStyle w:val="Style21"/>
        <w:keepNext w:val="0"/>
        <w:keepLines w:val="0"/>
        <w:widowControl w:val="0"/>
        <w:shd w:val="clear" w:color="auto" w:fill="auto"/>
        <w:bidi w:val="0"/>
        <w:spacing w:before="0" w:after="0" w:line="240" w:lineRule="auto"/>
        <w:ind w:left="0" w:right="0" w:firstLine="720"/>
        <w:jc w:val="both"/>
      </w:pPr>
      <w:r>
        <w:rPr>
          <w:rStyle w:val="CharStyle22"/>
        </w:rPr>
        <w:t>ul. J. Słowackiego, 66-010 Nowogród Bobrzański</w:t>
      </w:r>
    </w:p>
    <w:p>
      <w:pPr>
        <w:pStyle w:val="Style21"/>
        <w:keepNext w:val="0"/>
        <w:keepLines w:val="0"/>
        <w:widowControl w:val="0"/>
        <w:numPr>
          <w:ilvl w:val="0"/>
          <w:numId w:val="9"/>
        </w:numPr>
        <w:shd w:val="clear" w:color="auto" w:fill="auto"/>
        <w:tabs>
          <w:tab w:pos="713" w:val="left"/>
        </w:tabs>
        <w:bidi w:val="0"/>
        <w:spacing w:before="0" w:after="0" w:line="240" w:lineRule="auto"/>
        <w:ind w:left="0" w:right="0" w:firstLine="360"/>
        <w:jc w:val="left"/>
      </w:pPr>
      <w:r>
        <w:rPr>
          <w:rStyle w:val="CharStyle22"/>
        </w:rPr>
        <w:t>Starosta Zielonogórski</w:t>
      </w:r>
    </w:p>
    <w:p>
      <w:pPr>
        <w:pStyle w:val="Style21"/>
        <w:keepNext w:val="0"/>
        <w:keepLines w:val="0"/>
        <w:widowControl w:val="0"/>
        <w:shd w:val="clear" w:color="auto" w:fill="auto"/>
        <w:bidi w:val="0"/>
        <w:spacing w:before="0" w:after="0" w:line="240" w:lineRule="auto"/>
        <w:ind w:left="0" w:right="0" w:firstLine="720"/>
        <w:jc w:val="both"/>
      </w:pPr>
      <w:r>
        <w:rPr>
          <w:rStyle w:val="CharStyle22"/>
        </w:rPr>
        <w:t>ul. Podgórna 5,65-057 Zielona Góra</w:t>
      </w:r>
    </w:p>
    <w:p>
      <w:pPr>
        <w:pStyle w:val="Style21"/>
        <w:keepNext w:val="0"/>
        <w:keepLines w:val="0"/>
        <w:widowControl w:val="0"/>
        <w:numPr>
          <w:ilvl w:val="0"/>
          <w:numId w:val="9"/>
        </w:numPr>
        <w:shd w:val="clear" w:color="auto" w:fill="auto"/>
        <w:tabs>
          <w:tab w:pos="713" w:val="left"/>
        </w:tabs>
        <w:bidi w:val="0"/>
        <w:spacing w:before="0" w:after="240" w:line="240" w:lineRule="auto"/>
        <w:ind w:left="0" w:right="0" w:firstLine="360"/>
        <w:jc w:val="left"/>
      </w:pPr>
      <w:r>
        <w:rPr>
          <w:rStyle w:val="CharStyle22"/>
        </w:rPr>
        <w:t>A/a</w:t>
      </w:r>
    </w:p>
    <w:p>
      <w:pPr>
        <w:pStyle w:val="Style21"/>
        <w:keepNext w:val="0"/>
        <w:keepLines w:val="0"/>
        <w:widowControl w:val="0"/>
        <w:shd w:val="clear" w:color="auto" w:fill="auto"/>
        <w:bidi w:val="0"/>
        <w:spacing w:before="0" w:after="0"/>
        <w:ind w:left="0" w:right="0" w:firstLine="0"/>
        <w:jc w:val="left"/>
      </w:pPr>
      <w:r>
        <w:rPr>
          <w:rStyle w:val="CharStyle22"/>
          <w:u w:val="single"/>
        </w:rPr>
        <w:t>Do wiadomości:</w:t>
      </w:r>
    </w:p>
    <w:p>
      <w:pPr>
        <w:pStyle w:val="Style21"/>
        <w:keepNext w:val="0"/>
        <w:keepLines w:val="0"/>
        <w:widowControl w:val="0"/>
        <w:numPr>
          <w:ilvl w:val="0"/>
          <w:numId w:val="11"/>
        </w:numPr>
        <w:shd w:val="clear" w:color="auto" w:fill="auto"/>
        <w:tabs>
          <w:tab w:pos="706" w:val="left"/>
        </w:tabs>
        <w:bidi w:val="0"/>
        <w:spacing w:before="0" w:after="0"/>
        <w:ind w:left="720" w:right="0" w:hanging="360"/>
        <w:jc w:val="left"/>
      </w:pPr>
      <w:r>
        <w:rPr>
          <w:rStyle w:val="CharStyle22"/>
        </w:rPr>
        <w:t>Regionalny Dyrektor Ochrony Środowiska ul Jagiellończyka 13</w:t>
      </w:r>
    </w:p>
    <w:p>
      <w:pPr>
        <w:pStyle w:val="Style21"/>
        <w:keepNext w:val="0"/>
        <w:keepLines w:val="0"/>
        <w:widowControl w:val="0"/>
        <w:shd w:val="clear" w:color="auto" w:fill="auto"/>
        <w:bidi w:val="0"/>
        <w:spacing w:before="0" w:after="0"/>
        <w:ind w:left="0" w:right="0" w:firstLine="720"/>
        <w:jc w:val="left"/>
      </w:pPr>
      <w:r>
        <w:rPr>
          <w:rStyle w:val="CharStyle22"/>
        </w:rPr>
        <w:t>66-400 Gorzów Wielkopolski</w:t>
      </w:r>
    </w:p>
    <w:p>
      <w:pPr>
        <w:pStyle w:val="Style21"/>
        <w:keepNext w:val="0"/>
        <w:keepLines w:val="0"/>
        <w:widowControl w:val="0"/>
        <w:numPr>
          <w:ilvl w:val="0"/>
          <w:numId w:val="11"/>
        </w:numPr>
        <w:shd w:val="clear" w:color="auto" w:fill="auto"/>
        <w:tabs>
          <w:tab w:pos="706" w:val="left"/>
        </w:tabs>
        <w:bidi w:val="0"/>
        <w:spacing w:before="0" w:after="0"/>
        <w:ind w:left="720" w:right="0" w:hanging="360"/>
        <w:jc w:val="left"/>
      </w:pPr>
      <w:r>
        <w:rPr>
          <w:rStyle w:val="CharStyle22"/>
        </w:rPr>
        <w:t>Państwowy Powiatowy Inspektor Sanitarny ul. Jasna 10</w:t>
      </w:r>
    </w:p>
    <w:p>
      <w:pPr>
        <w:pStyle w:val="Style21"/>
        <w:keepNext w:val="0"/>
        <w:keepLines w:val="0"/>
        <w:widowControl w:val="0"/>
        <w:shd w:val="clear" w:color="auto" w:fill="auto"/>
        <w:bidi w:val="0"/>
        <w:spacing w:before="0" w:after="0"/>
        <w:ind w:left="0" w:right="0" w:firstLine="720"/>
        <w:jc w:val="left"/>
      </w:pPr>
      <w:r>
        <w:rPr>
          <w:rStyle w:val="CharStyle22"/>
        </w:rPr>
        <w:t>65-470 Zielona Góra</w:t>
      </w:r>
      <w:r>
        <w:br w:type="page"/>
      </w:r>
    </w:p>
    <w:p>
      <w:pPr>
        <w:pStyle w:val="Style21"/>
        <w:keepNext w:val="0"/>
        <w:keepLines w:val="0"/>
        <w:widowControl w:val="0"/>
        <w:numPr>
          <w:ilvl w:val="0"/>
          <w:numId w:val="11"/>
        </w:numPr>
        <w:shd w:val="clear" w:color="auto" w:fill="auto"/>
        <w:tabs>
          <w:tab w:pos="766" w:val="left"/>
        </w:tabs>
        <w:bidi w:val="0"/>
        <w:spacing w:before="0" w:after="0"/>
        <w:ind w:left="760" w:right="0" w:hanging="340"/>
        <w:jc w:val="both"/>
      </w:pPr>
      <w:r>
        <w:rPr>
          <w:rStyle w:val="CharStyle22"/>
        </w:rPr>
        <w:t>Państwowe Gospodarstwo Wodne Wody Polskie Zarząd Zlewni w Zielonej Górze</w:t>
      </w:r>
    </w:p>
    <w:p>
      <w:pPr>
        <w:pStyle w:val="Style21"/>
        <w:keepNext w:val="0"/>
        <w:keepLines w:val="0"/>
        <w:widowControl w:val="0"/>
        <w:shd w:val="clear" w:color="auto" w:fill="auto"/>
        <w:bidi w:val="0"/>
        <w:spacing w:before="0" w:after="0"/>
        <w:ind w:left="0" w:right="0" w:firstLine="760"/>
        <w:jc w:val="left"/>
      </w:pPr>
      <w:r>
        <w:rPr>
          <w:rStyle w:val="CharStyle22"/>
        </w:rPr>
        <w:t>ul. Ptasia 2B</w:t>
      </w:r>
    </w:p>
    <w:p>
      <w:pPr>
        <w:pStyle w:val="Style21"/>
        <w:keepNext w:val="0"/>
        <w:keepLines w:val="0"/>
        <w:widowControl w:val="0"/>
        <w:shd w:val="clear" w:color="auto" w:fill="auto"/>
        <w:bidi w:val="0"/>
        <w:spacing w:before="0" w:after="0"/>
        <w:ind w:left="0" w:right="0" w:firstLine="760"/>
        <w:jc w:val="left"/>
      </w:pPr>
      <w:r>
        <w:rPr>
          <w:rStyle w:val="CharStyle22"/>
        </w:rPr>
        <w:t>65-514 Zielona Góra</w:t>
      </w:r>
    </w:p>
    <w:p>
      <w:pPr>
        <w:pStyle w:val="Style21"/>
        <w:keepNext w:val="0"/>
        <w:keepLines w:val="0"/>
        <w:widowControl w:val="0"/>
        <w:numPr>
          <w:ilvl w:val="0"/>
          <w:numId w:val="11"/>
        </w:numPr>
        <w:shd w:val="clear" w:color="auto" w:fill="auto"/>
        <w:tabs>
          <w:tab w:pos="766" w:val="left"/>
        </w:tabs>
        <w:bidi w:val="0"/>
        <w:spacing w:before="0" w:after="0"/>
        <w:ind w:left="760" w:right="0" w:hanging="340"/>
        <w:jc w:val="both"/>
      </w:pPr>
      <w:r>
        <w:rPr>
          <w:rStyle w:val="CharStyle22"/>
        </w:rPr>
        <w:t>Starosta Powiatowy w Zielonej Górze ul. Podgórna 5</w:t>
      </w:r>
    </w:p>
    <w:p>
      <w:pPr>
        <w:pStyle w:val="Style21"/>
        <w:keepNext w:val="0"/>
        <w:keepLines w:val="0"/>
        <w:widowControl w:val="0"/>
        <w:shd w:val="clear" w:color="auto" w:fill="auto"/>
        <w:bidi w:val="0"/>
        <w:spacing w:before="0" w:after="0"/>
        <w:ind w:left="0" w:right="0" w:firstLine="760"/>
        <w:jc w:val="left"/>
      </w:pPr>
      <w:r>
        <w:rPr>
          <w:rStyle w:val="CharStyle22"/>
        </w:rPr>
        <w:t>65-057 Zielona Góra</w:t>
      </w:r>
    </w:p>
    <w:sectPr>
      <w:footnotePr>
        <w:pos w:val="pageBottom"/>
        <w:numFmt w:val="decimal"/>
        <w:numRestart w:val="continuous"/>
      </w:footnotePr>
      <w:pgSz w:w="11900" w:h="16840"/>
      <w:pgMar w:top="1534" w:right="1321" w:bottom="1134" w:left="1443" w:header="1106" w:footer="3"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6612890</wp:posOffset>
              </wp:positionH>
              <wp:positionV relativeFrom="page">
                <wp:posOffset>10036810</wp:posOffset>
              </wp:positionV>
              <wp:extent cx="52705" cy="88900"/>
              <wp:wrapNone/>
              <wp:docPr id="7" name="Shape 7"/>
              <a:graphic xmlns:a="http://schemas.openxmlformats.org/drawingml/2006/main">
                <a:graphicData uri="http://schemas.microsoft.com/office/word/2010/wordprocessingShape">
                  <wps:wsp>
                    <wps:cNvSpPr txBox="1"/>
                    <wps:spPr>
                      <a:xfrm>
                        <a:ext cx="52705" cy="88900"/>
                      </a:xfrm>
                      <a:prstGeom prst="rect"/>
                      <a:noFill/>
                    </wps:spPr>
                    <wps:txbx>
                      <w:txbxContent>
                        <w:p>
                          <w:pPr>
                            <w:pStyle w:val="Style8"/>
                            <w:keepNext w:val="0"/>
                            <w:keepLines w:val="0"/>
                            <w:widowControl w:val="0"/>
                            <w:shd w:val="clear" w:color="auto" w:fill="auto"/>
                            <w:bidi w:val="0"/>
                            <w:spacing w:before="0" w:after="0" w:line="240" w:lineRule="auto"/>
                            <w:ind w:left="0" w:right="0" w:firstLine="0"/>
                            <w:jc w:val="left"/>
                          </w:pPr>
                          <w:fldSimple w:instr=" PAGE \* MERGEFORMAT ">
                            <w:r>
                              <w:rPr>
                                <w:rStyle w:val="CharStyle9"/>
                              </w:rPr>
                              <w:t>#</w:t>
                            </w:r>
                          </w:fldSimple>
                        </w:p>
                      </w:txbxContent>
                    </wps:txbx>
                    <wps:bodyPr wrap="none" lIns="0" tIns="0" rIns="0" bIns="0">
                      <a:spAutoFit/>
                    </wps:bodyPr>
                  </wps:wsp>
                </a:graphicData>
              </a:graphic>
            </wp:anchor>
          </w:drawing>
        </mc:Choice>
        <mc:Fallback>
          <w:pict>
            <v:shape id="_x0000_s1033" type="#_x0000_t202" style="position:absolute;margin-left:520.70000000000005pt;margin-top:790.30000000000007pt;width:4.1500000000000004pt;height:7.pt;z-index:-188744063;mso-wrap-style:none;mso-wrap-distance-left:0;mso-wrap-distance-right:0;mso-position-horizontal-relative:page;mso-position-vertical-relative:page" wrapcoords="0 0" filled="f" stroked="f">
              <v:textbox style="mso-fit-shape-to-text:t" inset="0,0,0,0">
                <w:txbxContent>
                  <w:p>
                    <w:pPr>
                      <w:pStyle w:val="Style8"/>
                      <w:keepNext w:val="0"/>
                      <w:keepLines w:val="0"/>
                      <w:widowControl w:val="0"/>
                      <w:shd w:val="clear" w:color="auto" w:fill="auto"/>
                      <w:bidi w:val="0"/>
                      <w:spacing w:before="0" w:after="0" w:line="240" w:lineRule="auto"/>
                      <w:ind w:left="0" w:right="0" w:firstLine="0"/>
                      <w:jc w:val="left"/>
                    </w:pPr>
                    <w:fldSimple w:instr=" PAGE \* MERGEFORMAT ">
                      <w:r>
                        <w:rPr>
                          <w:rStyle w:val="CharStyle9"/>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Roman"/>
      <w:lvlText w:val="%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pl-PL" w:eastAsia="pl-PL" w:bidi="pl-PL"/>
      </w:rPr>
    </w:lvl>
  </w:abstractNum>
  <w:abstractNum w:abstractNumId="2">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pl-PL" w:eastAsia="pl-PL" w:bidi="pl-PL"/>
      </w:rPr>
    </w:lvl>
  </w:abstractNum>
  <w:abstractNum w:abstractNumId="6">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val="pl-PL" w:eastAsia="pl-PL" w:bidi="pl-PL"/>
      </w:rPr>
    </w:lvl>
  </w:abstractNum>
  <w:abstractNum w:abstractNumId="8">
    <w:multiLevelType w:val="multilevel"/>
    <w:lvl w:ilvl="0">
      <w:start w:val="6"/>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pl-PL" w:eastAsia="pl-PL" w:bidi="pl-PL"/>
      </w:rPr>
    </w:lvl>
  </w:abstractNum>
  <w:abstractNum w:abstractNumId="10">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pl-PL" w:eastAsia="pl-PL" w:bidi="pl-PL"/>
      </w:rPr>
    </w:lvl>
  </w:abstractNum>
  <w:num w:numId="1">
    <w:abstractNumId w:val="0"/>
  </w:num>
  <w:num w:numId="3">
    <w:abstractNumId w:val="2"/>
  </w:num>
  <w:num w:numId="5">
    <w:abstractNumId w:val="4"/>
  </w:num>
  <w:num w:numId="7">
    <w:abstractNumId w:val="6"/>
  </w:num>
  <w:num w:numId="9">
    <w:abstractNumId w:val="8"/>
  </w:num>
  <w:num w:numId="11">
    <w:abstractNumId w:val="1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Arial Unicode MS" w:eastAsia="Arial Unicode MS" w:hAnsi="Arial Unicode MS" w:cs="Arial Unicode MS"/>
        <w:sz w:val="24"/>
        <w:szCs w:val="24"/>
        <w:lang w:val="pl-PL" w:eastAsia="pl-PL" w:bidi="pl-PL"/>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default="1" w:styleId="DefaultParagraphFont">
    <w:name w:val="Default Paragraph Font"/>
    <w:rPr>
      <w:rFonts w:ascii="Arial Unicode MS" w:eastAsia="Arial Unicode MS" w:hAnsi="Arial Unicode MS" w:cs="Arial Unicode MS"/>
      <w:color w:val="000000"/>
      <w:spacing w:val="0"/>
      <w:w w:val="100"/>
      <w:position w:val="0"/>
      <w:sz w:val="24"/>
      <w:szCs w:val="24"/>
      <w:shd w:val="clear" w:color="auto" w:fill="auto"/>
      <w:lang w:val="pl-PL" w:eastAsia="pl-PL" w:bidi="pl-PL"/>
    </w:rPr>
  </w:style>
  <w:style w:type="character" w:customStyle="1" w:styleId="CharStyle3">
    <w:name w:val="Podpis obrazu_"/>
    <w:basedOn w:val="DefaultParagraphFont"/>
    <w:link w:val="Style2"/>
    <w:rPr>
      <w:rFonts w:ascii="Times New Roman" w:eastAsia="Times New Roman" w:hAnsi="Times New Roman" w:cs="Times New Roman"/>
      <w:b w:val="0"/>
      <w:bCs w:val="0"/>
      <w:i w:val="0"/>
      <w:iCs w:val="0"/>
      <w:smallCaps w:val="0"/>
      <w:strike w:val="0"/>
      <w:sz w:val="15"/>
      <w:szCs w:val="15"/>
      <w:u w:val="none"/>
    </w:rPr>
  </w:style>
  <w:style w:type="character" w:customStyle="1" w:styleId="CharStyle5">
    <w:name w:val="Nagłówek #1_"/>
    <w:basedOn w:val="DefaultParagraphFont"/>
    <w:link w:val="Style4"/>
    <w:rPr>
      <w:rFonts w:ascii="Cambria" w:eastAsia="Cambria" w:hAnsi="Cambria" w:cs="Cambria"/>
      <w:b/>
      <w:bCs/>
      <w:i w:val="0"/>
      <w:iCs w:val="0"/>
      <w:smallCaps w:val="0"/>
      <w:strike w:val="0"/>
      <w:sz w:val="28"/>
      <w:szCs w:val="28"/>
      <w:u w:val="none"/>
    </w:rPr>
  </w:style>
  <w:style w:type="character" w:customStyle="1" w:styleId="CharStyle7">
    <w:name w:val="Tekst treści (2)_"/>
    <w:basedOn w:val="DefaultParagraphFont"/>
    <w:link w:val="Style6"/>
    <w:rPr>
      <w:rFonts w:ascii="Times New Roman" w:eastAsia="Times New Roman" w:hAnsi="Times New Roman" w:cs="Times New Roman"/>
      <w:b w:val="0"/>
      <w:bCs w:val="0"/>
      <w:i w:val="0"/>
      <w:iCs w:val="0"/>
      <w:smallCaps w:val="0"/>
      <w:strike w:val="0"/>
      <w:sz w:val="17"/>
      <w:szCs w:val="17"/>
      <w:u w:val="none"/>
    </w:rPr>
  </w:style>
  <w:style w:type="character" w:customStyle="1" w:styleId="CharStyle9">
    <w:name w:val="Nagłówek lub stopka (2)_"/>
    <w:basedOn w:val="DefaultParagraphFont"/>
    <w:link w:val="Style8"/>
    <w:rPr>
      <w:rFonts w:ascii="Times New Roman" w:eastAsia="Times New Roman" w:hAnsi="Times New Roman" w:cs="Times New Roman"/>
      <w:b w:val="0"/>
      <w:bCs w:val="0"/>
      <w:i w:val="0"/>
      <w:iCs w:val="0"/>
      <w:smallCaps w:val="0"/>
      <w:strike w:val="0"/>
      <w:sz w:val="20"/>
      <w:szCs w:val="20"/>
      <w:u w:val="none"/>
    </w:rPr>
  </w:style>
  <w:style w:type="character" w:customStyle="1" w:styleId="CharStyle12">
    <w:name w:val="Tekst treści (4)_"/>
    <w:basedOn w:val="DefaultParagraphFont"/>
    <w:link w:val="Style11"/>
    <w:rPr>
      <w:rFonts w:ascii="Cambria" w:eastAsia="Cambria" w:hAnsi="Cambria" w:cs="Cambria"/>
      <w:b/>
      <w:bCs/>
      <w:i w:val="0"/>
      <w:iCs w:val="0"/>
      <w:smallCaps w:val="0"/>
      <w:strike w:val="0"/>
      <w:sz w:val="18"/>
      <w:szCs w:val="18"/>
      <w:u w:val="none"/>
    </w:rPr>
  </w:style>
  <w:style w:type="character" w:customStyle="1" w:styleId="CharStyle14">
    <w:name w:val="Tekst treści_"/>
    <w:basedOn w:val="DefaultParagraphFont"/>
    <w:link w:val="Style13"/>
    <w:rPr>
      <w:rFonts w:ascii="Times New Roman" w:eastAsia="Times New Roman" w:hAnsi="Times New Roman" w:cs="Times New Roman"/>
      <w:b w:val="0"/>
      <w:bCs w:val="0"/>
      <w:i w:val="0"/>
      <w:iCs w:val="0"/>
      <w:smallCaps w:val="0"/>
      <w:strike w:val="0"/>
      <w:sz w:val="20"/>
      <w:szCs w:val="20"/>
      <w:u w:val="none"/>
    </w:rPr>
  </w:style>
  <w:style w:type="character" w:customStyle="1" w:styleId="CharStyle22">
    <w:name w:val="Tekst treści (3)_"/>
    <w:basedOn w:val="DefaultParagraphFont"/>
    <w:link w:val="Style21"/>
    <w:rPr>
      <w:rFonts w:ascii="Times New Roman" w:eastAsia="Times New Roman" w:hAnsi="Times New Roman" w:cs="Times New Roman"/>
      <w:b w:val="0"/>
      <w:bCs w:val="0"/>
      <w:i w:val="0"/>
      <w:iCs w:val="0"/>
      <w:smallCaps w:val="0"/>
      <w:strike w:val="0"/>
      <w:sz w:val="15"/>
      <w:szCs w:val="15"/>
      <w:u w:val="none"/>
    </w:rPr>
  </w:style>
  <w:style w:type="paragraph" w:customStyle="1" w:styleId="Style2">
    <w:name w:val="Podpis obrazu"/>
    <w:basedOn w:val="Normal"/>
    <w:link w:val="CharStyle3"/>
    <w:pPr>
      <w:widowControl w:val="0"/>
      <w:shd w:val="clear" w:color="auto" w:fill="auto"/>
      <w:spacing w:line="276" w:lineRule="auto"/>
      <w:ind w:left="170"/>
    </w:pPr>
    <w:rPr>
      <w:rFonts w:ascii="Times New Roman" w:eastAsia="Times New Roman" w:hAnsi="Times New Roman" w:cs="Times New Roman"/>
      <w:b w:val="0"/>
      <w:bCs w:val="0"/>
      <w:i w:val="0"/>
      <w:iCs w:val="0"/>
      <w:smallCaps w:val="0"/>
      <w:strike w:val="0"/>
      <w:sz w:val="15"/>
      <w:szCs w:val="15"/>
      <w:u w:val="none"/>
    </w:rPr>
  </w:style>
  <w:style w:type="paragraph" w:customStyle="1" w:styleId="Style4">
    <w:name w:val="Nagłówek #1"/>
    <w:basedOn w:val="Normal"/>
    <w:link w:val="CharStyle5"/>
    <w:pPr>
      <w:widowControl w:val="0"/>
      <w:shd w:val="clear" w:color="auto" w:fill="auto"/>
      <w:outlineLvl w:val="0"/>
    </w:pPr>
    <w:rPr>
      <w:rFonts w:ascii="Cambria" w:eastAsia="Cambria" w:hAnsi="Cambria" w:cs="Cambria"/>
      <w:b/>
      <w:bCs/>
      <w:i w:val="0"/>
      <w:iCs w:val="0"/>
      <w:smallCaps w:val="0"/>
      <w:strike w:val="0"/>
      <w:sz w:val="28"/>
      <w:szCs w:val="28"/>
      <w:u w:val="none"/>
    </w:rPr>
  </w:style>
  <w:style w:type="paragraph" w:customStyle="1" w:styleId="Style6">
    <w:name w:val="Tekst treści (2)"/>
    <w:basedOn w:val="Normal"/>
    <w:link w:val="CharStyle7"/>
    <w:pPr>
      <w:widowControl w:val="0"/>
      <w:shd w:val="clear" w:color="auto" w:fill="auto"/>
      <w:spacing w:after="410" w:line="252" w:lineRule="auto"/>
    </w:pPr>
    <w:rPr>
      <w:rFonts w:ascii="Times New Roman" w:eastAsia="Times New Roman" w:hAnsi="Times New Roman" w:cs="Times New Roman"/>
      <w:b w:val="0"/>
      <w:bCs w:val="0"/>
      <w:i w:val="0"/>
      <w:iCs w:val="0"/>
      <w:smallCaps w:val="0"/>
      <w:strike w:val="0"/>
      <w:sz w:val="17"/>
      <w:szCs w:val="17"/>
      <w:u w:val="none"/>
    </w:rPr>
  </w:style>
  <w:style w:type="paragraph" w:customStyle="1" w:styleId="Style8">
    <w:name w:val="Nagłówek lub stopka (2)"/>
    <w:basedOn w:val="Normal"/>
    <w:link w:val="CharStyle9"/>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1">
    <w:name w:val="Tekst treści (4)"/>
    <w:basedOn w:val="Normal"/>
    <w:link w:val="CharStyle12"/>
    <w:pPr>
      <w:widowControl w:val="0"/>
      <w:shd w:val="clear" w:color="auto" w:fill="auto"/>
    </w:pPr>
    <w:rPr>
      <w:rFonts w:ascii="Cambria" w:eastAsia="Cambria" w:hAnsi="Cambria" w:cs="Cambria"/>
      <w:b/>
      <w:bCs/>
      <w:i w:val="0"/>
      <w:iCs w:val="0"/>
      <w:smallCaps w:val="0"/>
      <w:strike w:val="0"/>
      <w:sz w:val="18"/>
      <w:szCs w:val="18"/>
      <w:u w:val="none"/>
    </w:rPr>
  </w:style>
  <w:style w:type="paragraph" w:customStyle="1" w:styleId="Style13">
    <w:name w:val="Tekst treści"/>
    <w:basedOn w:val="Normal"/>
    <w:link w:val="CharStyle14"/>
    <w:pPr>
      <w:widowControl w:val="0"/>
      <w:shd w:val="clear" w:color="auto" w:fill="auto"/>
      <w:spacing w:line="264" w:lineRule="auto"/>
    </w:pPr>
    <w:rPr>
      <w:rFonts w:ascii="Times New Roman" w:eastAsia="Times New Roman" w:hAnsi="Times New Roman" w:cs="Times New Roman"/>
      <w:b w:val="0"/>
      <w:bCs w:val="0"/>
      <w:i w:val="0"/>
      <w:iCs w:val="0"/>
      <w:smallCaps w:val="0"/>
      <w:strike w:val="0"/>
      <w:sz w:val="20"/>
      <w:szCs w:val="20"/>
      <w:u w:val="none"/>
    </w:rPr>
  </w:style>
  <w:style w:type="paragraph" w:customStyle="1" w:styleId="Style21">
    <w:name w:val="Tekst treści (3)"/>
    <w:basedOn w:val="Normal"/>
    <w:link w:val="CharStyle22"/>
    <w:pPr>
      <w:widowControl w:val="0"/>
      <w:shd w:val="clear" w:color="auto" w:fill="auto"/>
      <w:spacing w:line="262" w:lineRule="auto"/>
      <w:ind w:firstLine="180"/>
    </w:pPr>
    <w:rPr>
      <w:rFonts w:ascii="Times New Roman" w:eastAsia="Times New Roman" w:hAnsi="Times New Roman" w:cs="Times New Roman"/>
      <w:b w:val="0"/>
      <w:bCs w:val="0"/>
      <w:i w:val="0"/>
      <w:iCs w:val="0"/>
      <w:smallCaps w:val="0"/>
      <w:strike w:val="0"/>
      <w:sz w:val="15"/>
      <w:szCs w:val="15"/>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2.jpeg" TargetMode="External"/><Relationship Id="rId10" Type="http://schemas.openxmlformats.org/officeDocument/2006/relationships/image" Target="media/image3.jpeg"/><Relationship Id="rId11" Type="http://schemas.openxmlformats.org/officeDocument/2006/relationships/image" Target="media/image3.jpeg" TargetMode="External"/><Relationship Id="rId12" Type="http://schemas.openxmlformats.org/officeDocument/2006/relationships/image" Target="media/image4.png"/><Relationship Id="rId13" Type="http://schemas.openxmlformats.org/officeDocument/2006/relationships/image" Target="media/image4.png" TargetMode="External"/><Relationship Id="rId14" Type="http://schemas.openxmlformats.org/officeDocument/2006/relationships/image" Target="media/image5.png"/><Relationship Id="rId15" Type="http://schemas.openxmlformats.org/officeDocument/2006/relationships/image" Target="media/image5.png" TargetMode="External"/></Relationships>
</file>

<file path=docProps/core.xml><?xml version="1.0" encoding="utf-8"?>
<cp:coreProperties xmlns:cp="http://schemas.openxmlformats.org/package/2006/metadata/core-properties" xmlns:dc="http://purl.org/dc/elements/1.1/">
  <dc:title>C224E_PIETRO-20220712135353</dc:title>
  <dc:subject/>
  <dc:creator/>
  <cp:keywords/>
</cp:coreProperties>
</file>