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0130" w14:textId="77777777" w:rsidR="00E040EC" w:rsidRPr="009009B7" w:rsidRDefault="009009B7" w:rsidP="00900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B7">
        <w:rPr>
          <w:rFonts w:ascii="Times New Roman" w:hAnsi="Times New Roman" w:cs="Times New Roman"/>
          <w:sz w:val="24"/>
          <w:szCs w:val="24"/>
        </w:rPr>
        <w:t xml:space="preserve">Załącznik do decyzji </w:t>
      </w:r>
    </w:p>
    <w:p w14:paraId="159F7551" w14:textId="77777777" w:rsidR="009009B7" w:rsidRPr="009009B7" w:rsidRDefault="009009B7" w:rsidP="00900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B7">
        <w:rPr>
          <w:rFonts w:ascii="Times New Roman" w:hAnsi="Times New Roman" w:cs="Times New Roman"/>
          <w:sz w:val="24"/>
          <w:szCs w:val="24"/>
        </w:rPr>
        <w:t>Burmistrza Nowogrodu Bobrzańskiego</w:t>
      </w:r>
    </w:p>
    <w:p w14:paraId="216466F7" w14:textId="065A0994" w:rsidR="009009B7" w:rsidRPr="009009B7" w:rsidRDefault="009009B7" w:rsidP="00900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B7">
        <w:rPr>
          <w:rFonts w:ascii="Times New Roman" w:hAnsi="Times New Roman" w:cs="Times New Roman"/>
          <w:sz w:val="24"/>
          <w:szCs w:val="24"/>
        </w:rPr>
        <w:t>znak: GKIII.6220.</w:t>
      </w:r>
      <w:r w:rsidR="00EB14ED">
        <w:rPr>
          <w:rFonts w:ascii="Times New Roman" w:hAnsi="Times New Roman" w:cs="Times New Roman"/>
          <w:sz w:val="24"/>
          <w:szCs w:val="24"/>
        </w:rPr>
        <w:t>5</w:t>
      </w:r>
      <w:r w:rsidR="007D5614">
        <w:rPr>
          <w:rFonts w:ascii="Times New Roman" w:hAnsi="Times New Roman" w:cs="Times New Roman"/>
          <w:sz w:val="24"/>
          <w:szCs w:val="24"/>
        </w:rPr>
        <w:t>.202</w:t>
      </w:r>
      <w:r w:rsidR="006A7A5E">
        <w:rPr>
          <w:rFonts w:ascii="Times New Roman" w:hAnsi="Times New Roman" w:cs="Times New Roman"/>
          <w:sz w:val="24"/>
          <w:szCs w:val="24"/>
        </w:rPr>
        <w:t>3</w:t>
      </w:r>
      <w:r w:rsidRPr="009009B7">
        <w:rPr>
          <w:rFonts w:ascii="Times New Roman" w:hAnsi="Times New Roman" w:cs="Times New Roman"/>
          <w:sz w:val="24"/>
          <w:szCs w:val="24"/>
        </w:rPr>
        <w:t>.</w:t>
      </w:r>
      <w:r w:rsidR="00514148">
        <w:rPr>
          <w:rFonts w:ascii="Times New Roman" w:hAnsi="Times New Roman" w:cs="Times New Roman"/>
          <w:sz w:val="24"/>
          <w:szCs w:val="24"/>
        </w:rPr>
        <w:t>MW</w:t>
      </w:r>
    </w:p>
    <w:p w14:paraId="23CED099" w14:textId="7FDF492E" w:rsidR="009009B7" w:rsidRDefault="009009B7" w:rsidP="00900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B7">
        <w:rPr>
          <w:rFonts w:ascii="Times New Roman" w:hAnsi="Times New Roman" w:cs="Times New Roman"/>
          <w:sz w:val="24"/>
          <w:szCs w:val="24"/>
        </w:rPr>
        <w:t xml:space="preserve">z dnia </w:t>
      </w:r>
      <w:r w:rsidR="000E33FD">
        <w:rPr>
          <w:rFonts w:ascii="Times New Roman" w:hAnsi="Times New Roman" w:cs="Times New Roman"/>
          <w:sz w:val="24"/>
          <w:szCs w:val="24"/>
        </w:rPr>
        <w:t xml:space="preserve">27 listopada </w:t>
      </w:r>
      <w:r w:rsidRPr="009009B7">
        <w:rPr>
          <w:rFonts w:ascii="Times New Roman" w:hAnsi="Times New Roman" w:cs="Times New Roman"/>
          <w:sz w:val="24"/>
          <w:szCs w:val="24"/>
        </w:rPr>
        <w:t>202</w:t>
      </w:r>
      <w:r w:rsidR="006A7A5E">
        <w:rPr>
          <w:rFonts w:ascii="Times New Roman" w:hAnsi="Times New Roman" w:cs="Times New Roman"/>
          <w:sz w:val="24"/>
          <w:szCs w:val="24"/>
        </w:rPr>
        <w:t>3</w:t>
      </w:r>
      <w:r w:rsidRPr="009009B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0254044" w14:textId="77777777" w:rsidR="009009B7" w:rsidRPr="009009B7" w:rsidRDefault="009009B7" w:rsidP="00900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F63DE" w14:textId="77777777" w:rsidR="009009B7" w:rsidRPr="009009B7" w:rsidRDefault="009009B7" w:rsidP="00900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B7">
        <w:rPr>
          <w:rFonts w:ascii="Times New Roman" w:hAnsi="Times New Roman" w:cs="Times New Roman"/>
          <w:b/>
          <w:sz w:val="24"/>
          <w:szCs w:val="24"/>
        </w:rPr>
        <w:t>CHARAKTERYSTYKA PRZEDSIĘWZIĘCIA</w:t>
      </w:r>
    </w:p>
    <w:p w14:paraId="0F471C76" w14:textId="77777777" w:rsidR="009009B7" w:rsidRDefault="009009B7" w:rsidP="0090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B820E" w14:textId="77777777" w:rsidR="009009B7" w:rsidRPr="009009B7" w:rsidRDefault="009009B7" w:rsidP="0090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92CD9" w14:textId="77777777" w:rsidR="00EB14ED" w:rsidRPr="00A42079" w:rsidRDefault="009009B7" w:rsidP="00EB14ED">
      <w:pPr>
        <w:spacing w:after="0" w:line="240" w:lineRule="auto"/>
        <w:jc w:val="both"/>
        <w:rPr>
          <w:rFonts w:ascii="Liberation Serif" w:eastAsia="Noto Sans CJK SC Regular" w:hAnsi="Liberation Serif" w:cs="Lohit Devanagari"/>
          <w:color w:val="FF0000"/>
          <w:kern w:val="2"/>
          <w:sz w:val="24"/>
          <w:szCs w:val="24"/>
          <w:lang w:eastAsia="zh-CN" w:bidi="hi-IN"/>
        </w:rPr>
      </w:pPr>
      <w:r w:rsidRPr="009009B7">
        <w:rPr>
          <w:rFonts w:ascii="Times New Roman" w:hAnsi="Times New Roman" w:cs="Times New Roman"/>
          <w:sz w:val="24"/>
          <w:szCs w:val="24"/>
        </w:rPr>
        <w:tab/>
      </w:r>
      <w:r w:rsid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Projektowane przedsięwzięcie polegać będzie na budowie elektrowni fotowoltaicznej o mocy do 8 MW na działce o numerze </w:t>
      </w:r>
      <w:proofErr w:type="spellStart"/>
      <w:r w:rsid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ewid</w:t>
      </w:r>
      <w:proofErr w:type="spellEnd"/>
      <w:r w:rsid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 541/10 obręb Drągowina, gmina Nowogród Bobrzański wraz z magazynem energii o mocy do</w:t>
      </w:r>
      <w:r w:rsidR="008F2C3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12 MW i pojemności do 48 MWh z </w:t>
      </w:r>
      <w:r w:rsid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możliwością etapowania inwestycji na więcej niż jedno nie</w:t>
      </w:r>
      <w:r w:rsidR="008F2C3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zależne przedsięwzięcie, wraz z </w:t>
      </w:r>
      <w:r w:rsid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infrastrukturą towarzyszącą. Zgodnie z kartą informacyjną przedsięwzięcia powierzchnia ww. działki inwestycyjnej wynosi ok. 8,34 ha. Maksymalna powierzchnia zajęta po</w:t>
      </w:r>
      <w:r w:rsidR="008F2C3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</w:t>
      </w:r>
      <w:r w:rsid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rzez inwestycję wyniesie do 8,29 ha.</w:t>
      </w:r>
    </w:p>
    <w:p w14:paraId="701A71E5" w14:textId="77777777" w:rsidR="00EB14ED" w:rsidRPr="0056285A" w:rsidRDefault="00EB14ED" w:rsidP="00EB14ED">
      <w:p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56285A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>Działka, na której planuje się realizację przedsięwzięcia nie jest objęta miejscowym planem zagospodarowania przestrzennego.</w:t>
      </w:r>
    </w:p>
    <w:p w14:paraId="41906211" w14:textId="77777777" w:rsidR="00EB14ED" w:rsidRPr="0056285A" w:rsidRDefault="00EB14ED" w:rsidP="00EB14ED">
      <w:p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56285A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Obszar przeznaczony pod realizację wnioskowanego przedsięwzięcia stanowią gleby orne o średnich i niskich klasach bonitacyjnych (IV, V i VI klasy). Teren inwestycji graniczy bezpośrednio z terenami rolnymi i leśnymi. Miejsce realizacji inwestycji oddalone jest ponad 500 m od najbliższych terenów chronionych akustycznie.</w:t>
      </w:r>
    </w:p>
    <w:p w14:paraId="5B0EF406" w14:textId="77777777" w:rsidR="00EB14ED" w:rsidRPr="0056285A" w:rsidRDefault="00EB14ED" w:rsidP="00EB14ED">
      <w:p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A42079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56285A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W zakres inwestycji wchodzą m.in.:</w:t>
      </w:r>
    </w:p>
    <w:p w14:paraId="67B47FD1" w14:textId="77777777" w:rsidR="00EB14ED" w:rsidRDefault="00EB14ED" w:rsidP="00EB14ED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56285A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Zespół paneli fotowoltaicznych o łącznej mocy do 8 MW- panele zostaną umieszczone w rzędach. Przestrzeń pomiędzy rzędami paneli nie będzie przekształcana i pozostanie biologicznie czynna. W ramach jednego rzędu, panele zostaną połączone za pomocą stalowych konstrukcji i posadowione na podporach wbitych w grunt. Panele wyposażone zostaną w powłokę antyrefleksyjną, zapobiegającą efektowi olśnienia.</w:t>
      </w:r>
    </w:p>
    <w:p w14:paraId="12985583" w14:textId="77777777" w:rsidR="00EB14ED" w:rsidRDefault="00EB14ED" w:rsidP="00EB14ED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Inwertery (falowniki, przetwornice)- pl</w:t>
      </w:r>
      <w:r w:rsidR="008F2C3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anuje się montaż maksymalnie 15 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inwerterów na każdy 1 MW zainstalowanej mocy, będą one zamontowane pod konstrukcją paneli lub jako wolnostojące zamontowane w stacjach kontenerowych.</w:t>
      </w:r>
    </w:p>
    <w:p w14:paraId="79153B3C" w14:textId="77777777" w:rsidR="00EB14ED" w:rsidRDefault="00EB14ED" w:rsidP="00EB14ED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Kontenerowa stacja transformatorowa- max. 2 szt. Transformatory umieszczone będą w kontenerze, które składają się z komory obsługi, komory transformatora, rozdzielnicy niskiego napięcia oraz rozdzielnicy średniego napięcia. Wszystkie transformatory olejowe zabezpieczone będą szczelną misą olejową na wypadek wycieku/awarii. Stacje transformatorowe zostaną zlokalizowane w odległości nie mniejszej niż 600 m od najbliższego budynku mieszkalnego.</w:t>
      </w:r>
    </w:p>
    <w:p w14:paraId="3E8E52ED" w14:textId="77777777" w:rsidR="00EB14ED" w:rsidRDefault="00EB14ED" w:rsidP="00EB14ED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Magazyny energii o mocy do 12 MW i pojemności do 48 MWh. Powierzchnia zajęta pod magazyny energii wyniesie maksymalnie do 1000 m</w:t>
      </w:r>
      <w:r w:rsidRPr="00A95CC4">
        <w:rPr>
          <w:rFonts w:ascii="Times New Roman" w:eastAsia="Noto Sans CJK SC Regular" w:hAnsi="Times New Roman" w:cs="Lohit Devanagari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. </w:t>
      </w:r>
    </w:p>
    <w:p w14:paraId="751017C0" w14:textId="77777777" w:rsidR="00EB14ED" w:rsidRDefault="00EB14ED" w:rsidP="00EB14ED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Kontener techniczny o funkcji socjalnej, magazynowej itp. Dopuszcza się możliwość postawienia do dwóch kontenerów.</w:t>
      </w:r>
    </w:p>
    <w:p w14:paraId="056C0FCC" w14:textId="77777777" w:rsidR="00EB14ED" w:rsidRDefault="00EB14ED" w:rsidP="00EB14ED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Linie kablowe i inne urządzenia towarzyszące.</w:t>
      </w:r>
    </w:p>
    <w:p w14:paraId="1DA6C015" w14:textId="77777777" w:rsidR="00EB14ED" w:rsidRDefault="00EB14ED" w:rsidP="00EB14ED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Drogi wewnętrzne pomiędzy rzędami paneli o szerokości do 5 metrów.</w:t>
      </w:r>
    </w:p>
    <w:p w14:paraId="2123973C" w14:textId="77777777" w:rsidR="00EB14ED" w:rsidRDefault="00EB14ED" w:rsidP="00EB14ED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Ogrodzenie terenu inwestycji.</w:t>
      </w:r>
    </w:p>
    <w:p w14:paraId="6D6D95B6" w14:textId="77777777" w:rsidR="00EB14ED" w:rsidRDefault="00EB14ED" w:rsidP="00EB14ED">
      <w:pPr>
        <w:pStyle w:val="Akapitzlist"/>
        <w:shd w:val="clear" w:color="auto" w:fill="FFFFFF"/>
        <w:tabs>
          <w:tab w:val="left" w:pos="0"/>
        </w:tabs>
        <w:spacing w:after="0" w:line="240" w:lineRule="auto"/>
        <w:ind w:left="0"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20155ACF" w14:textId="77777777" w:rsidR="00EB14ED" w:rsidRDefault="00EB14ED" w:rsidP="00EB14ED">
      <w:pPr>
        <w:pStyle w:val="Akapitzlist"/>
        <w:shd w:val="clear" w:color="auto" w:fill="FFFFFF"/>
        <w:tabs>
          <w:tab w:val="left" w:pos="0"/>
        </w:tabs>
        <w:spacing w:after="0" w:line="240" w:lineRule="auto"/>
        <w:ind w:left="0"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Etap realizacji inwestycji nie będzie związany ze znaczącymi oddziaływaniami. Panele będą montowane na stalowych stelażach wbijanych w ziemię. Ponadto, w  ziemi przebiegać będą kable elektryczne. W głównej mierze oddziaływanie będzie związane z emisją hałasu oraz zanieczyszczeń do powietrza, pochodzących z urządzeń i pojazdów wykorzystywanych w trakcie montażu. Odpady będą magazynowane w wyznaczonym miejscu i przekazywane  do </w:t>
      </w:r>
      <w:r w:rsidRP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lastRenderedPageBreak/>
        <w:t xml:space="preserve">dalszego zagospodarowania, zgodnie z obowiązującymi przepisami. </w:t>
      </w:r>
      <w:r w:rsidR="008F2C3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Realizacja i </w:t>
      </w:r>
      <w:r w:rsidRP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eksploatacja inwestycji nie będzie wiązała się z </w:t>
      </w:r>
      <w:r w:rsidR="008F2C3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powstawaniem ścieków bytowych i </w:t>
      </w:r>
      <w:r w:rsidRP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przemysłowych. W przypadku powstawania w trakcie realizacji inwestycji ścieków bytowych należy gromadzić je w przenośnych sanitariatach i systematycznie wywozić przez uprawnione podmioty. Oddziaływania na tym etapie będą m</w:t>
      </w:r>
      <w:r w:rsidR="008F2C3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iały charakter krótkookresowy i </w:t>
      </w:r>
      <w:r w:rsidRP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lokalny oraz ustaną po zakończeniu prac. </w:t>
      </w:r>
    </w:p>
    <w:p w14:paraId="6E497C0E" w14:textId="77777777" w:rsidR="00EB14ED" w:rsidRPr="00EB14ED" w:rsidRDefault="00EB14ED" w:rsidP="00EB14ED">
      <w:pPr>
        <w:pStyle w:val="Akapitzlist"/>
        <w:shd w:val="clear" w:color="auto" w:fill="FFFFFF"/>
        <w:tabs>
          <w:tab w:val="left" w:pos="0"/>
        </w:tabs>
        <w:spacing w:after="0" w:line="240" w:lineRule="auto"/>
        <w:ind w:left="0"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EB14ED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Etap użytkowania nie będzie wiązał się z oddziaływaniami mogącymi mieć charakter znaczący. Panele fotowoltaiczne działają bezobsługowo. Czyszczenie wykonywane jest wodą zdemineralizowaną. Projektowane są specjalne panele z powłoką antyrefleksyjną, co ograniczy odbijanie światła. Woda opadowa i roztopowa będzie odprowadzana powierzchniowo na teren działki. Odpady powstawać będą jedynie przy okazji prac serwisowych i zagospodarowywane będą przez podmioty prowadzące te prace. Źródłem hałasu będą stacje transformatorowe i inwertery, Stacje transformatorowe</w:t>
      </w:r>
      <w:r w:rsidR="008F2C3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usytuowane będą w </w:t>
      </w:r>
      <w:r w:rsidRPr="00EB14E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kontenerach. Ograniczy to ewentualną emisję hałasu, a także potencjalne pole elektromagnetyczne. Panele będą chłodzone w wyniku naturalnego przepływu powietrza, bez użycia wentylatorów.</w:t>
      </w:r>
      <w:r w:rsidRPr="00EB14ED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 xml:space="preserve"> </w:t>
      </w:r>
    </w:p>
    <w:p w14:paraId="14292285" w14:textId="77777777" w:rsidR="006A7A5E" w:rsidRDefault="00EB14ED" w:rsidP="00EB14ED">
      <w:pPr>
        <w:shd w:val="clear" w:color="auto" w:fill="FFFFFF"/>
        <w:tabs>
          <w:tab w:val="left" w:pos="0"/>
        </w:tabs>
        <w:suppressAutoHyphens/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>Ze względu na zakres i oddziaływanie ograniczone do terenu lokalizacji, projektowana inwestycja nie będzie w sposób skumulowany oddziaływać na środowisko z innymi przedsięwzięciami- projektowanymi w obrębie Drągowi</w:t>
      </w:r>
      <w:r w:rsidR="008F2C3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na. Elektrownia związana jest z 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wykorzystaniem zasobów naturalnych – energii słonecznej.</w:t>
      </w:r>
    </w:p>
    <w:p w14:paraId="091DFE7E" w14:textId="77777777" w:rsidR="00EB14ED" w:rsidRPr="005B4DB0" w:rsidRDefault="00EB14ED" w:rsidP="00EB14ED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5B4DB0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Przedsięwzięcia związane jest z wykorzystywaniem energii słonecznej, zatem zalicza się do odnawialnych źródeł energii. Tym samym wpisuje się w trend ograniczania zużycia paliw kopalnych, a w konsekwencji wpływu na spowolnienie ewentualnych zmian klimatu. Inwestycja zlokalizowana będzie na terenie użytkowanym przez człowieka. Przedsięwzięcie nie będzie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źródłem emisji gazów cieplarnianych, Podobnie nie wpłynie na możliwość retencji wód powodziowych na tych terenach. Z tych samych względów nie wpłynie ona na różnorodność biologiczną na tym obszarze.</w:t>
      </w:r>
    </w:p>
    <w:p w14:paraId="5EB8E7C3" w14:textId="77777777" w:rsidR="00EB14ED" w:rsidRPr="00482A21" w:rsidRDefault="00EB14ED" w:rsidP="00EB14ED">
      <w:pPr>
        <w:shd w:val="clear" w:color="auto" w:fill="FFFFFF"/>
        <w:tabs>
          <w:tab w:val="left" w:pos="0"/>
        </w:tabs>
        <w:suppressAutoHyphens/>
        <w:spacing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76A00252" w14:textId="77777777" w:rsidR="006A7A5E" w:rsidRDefault="006A7A5E" w:rsidP="006A7A5E">
      <w:pPr>
        <w:shd w:val="clear" w:color="auto" w:fill="FFFFFF"/>
        <w:tabs>
          <w:tab w:val="left" w:pos="0"/>
          <w:tab w:val="left" w:pos="709"/>
        </w:tabs>
        <w:suppressAutoHyphens/>
        <w:spacing w:before="120"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0354A964" w14:textId="77777777" w:rsidR="009018AB" w:rsidRDefault="009018AB" w:rsidP="009018AB">
      <w:pPr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                         </w:t>
      </w:r>
    </w:p>
    <w:p w14:paraId="019F8705" w14:textId="7EC3C8DC" w:rsidR="009018AB" w:rsidRDefault="009018AB" w:rsidP="009018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600B8A34" w14:textId="77777777" w:rsidR="009018AB" w:rsidRDefault="009018AB" w:rsidP="009018A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mgr inż. Mirosław Walencik</w:t>
      </w:r>
    </w:p>
    <w:p w14:paraId="35C1E05B" w14:textId="77777777" w:rsidR="009018AB" w:rsidRDefault="009018AB" w:rsidP="00901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Zastępca Burmistrza</w:t>
      </w:r>
    </w:p>
    <w:p w14:paraId="3C17D71E" w14:textId="69C8E4D6" w:rsidR="009018AB" w:rsidRDefault="009018AB" w:rsidP="006A7A5E">
      <w:pPr>
        <w:shd w:val="clear" w:color="auto" w:fill="FFFFFF"/>
        <w:tabs>
          <w:tab w:val="left" w:pos="0"/>
          <w:tab w:val="left" w:pos="709"/>
        </w:tabs>
        <w:suppressAutoHyphens/>
        <w:spacing w:before="120" w:after="0" w:line="240" w:lineRule="auto"/>
        <w:ind w:right="-11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738605DD" w14:textId="77777777" w:rsidR="007D5614" w:rsidRPr="009009B7" w:rsidRDefault="007D5614" w:rsidP="006A7A5E">
      <w:pPr>
        <w:shd w:val="clear" w:color="auto" w:fill="FFFFFF"/>
        <w:tabs>
          <w:tab w:val="left" w:pos="0"/>
        </w:tabs>
        <w:suppressAutoHyphens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sectPr w:rsidR="007D5614" w:rsidRPr="009009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4D55" w14:textId="77777777" w:rsidR="001076DE" w:rsidRDefault="001076DE" w:rsidP="009009B7">
      <w:pPr>
        <w:spacing w:after="0" w:line="240" w:lineRule="auto"/>
      </w:pPr>
      <w:r>
        <w:separator/>
      </w:r>
    </w:p>
  </w:endnote>
  <w:endnote w:type="continuationSeparator" w:id="0">
    <w:p w14:paraId="58AE514F" w14:textId="77777777" w:rsidR="001076DE" w:rsidRDefault="001076DE" w:rsidP="009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488716"/>
      <w:docPartObj>
        <w:docPartGallery w:val="Page Numbers (Bottom of Page)"/>
        <w:docPartUnique/>
      </w:docPartObj>
    </w:sdtPr>
    <w:sdtContent>
      <w:p w14:paraId="27F27CD0" w14:textId="77777777" w:rsidR="009009B7" w:rsidRDefault="009009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36">
          <w:rPr>
            <w:noProof/>
          </w:rPr>
          <w:t>2</w:t>
        </w:r>
        <w:r>
          <w:fldChar w:fldCharType="end"/>
        </w:r>
      </w:p>
    </w:sdtContent>
  </w:sdt>
  <w:p w14:paraId="1CAB0BB6" w14:textId="77777777" w:rsidR="009009B7" w:rsidRDefault="00900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4D17" w14:textId="77777777" w:rsidR="001076DE" w:rsidRDefault="001076DE" w:rsidP="009009B7">
      <w:pPr>
        <w:spacing w:after="0" w:line="240" w:lineRule="auto"/>
      </w:pPr>
      <w:r>
        <w:separator/>
      </w:r>
    </w:p>
  </w:footnote>
  <w:footnote w:type="continuationSeparator" w:id="0">
    <w:p w14:paraId="7EDC90BA" w14:textId="77777777" w:rsidR="001076DE" w:rsidRDefault="001076DE" w:rsidP="0090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8EE"/>
    <w:multiLevelType w:val="hybridMultilevel"/>
    <w:tmpl w:val="844A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77A5"/>
    <w:multiLevelType w:val="hybridMultilevel"/>
    <w:tmpl w:val="6E34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B0EE7"/>
    <w:multiLevelType w:val="hybridMultilevel"/>
    <w:tmpl w:val="E1F8A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4653"/>
    <w:multiLevelType w:val="hybridMultilevel"/>
    <w:tmpl w:val="532AD688"/>
    <w:lvl w:ilvl="0" w:tplc="B94E7754">
      <w:start w:val="1"/>
      <w:numFmt w:val="decimal"/>
      <w:lvlText w:val="%1."/>
      <w:lvlJc w:val="left"/>
      <w:pPr>
        <w:ind w:left="1080" w:hanging="360"/>
      </w:pPr>
      <w:rPr>
        <w:rFonts w:ascii="Times New Roman" w:eastAsia="Noto Sans CJK SC Regular" w:hAnsi="Times New Roman" w:cs="Lohit Devanaga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E3D30"/>
    <w:multiLevelType w:val="hybridMultilevel"/>
    <w:tmpl w:val="32DC7EE2"/>
    <w:lvl w:ilvl="0" w:tplc="9014F18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1603904">
    <w:abstractNumId w:val="2"/>
  </w:num>
  <w:num w:numId="2" w16cid:durableId="1877086765">
    <w:abstractNumId w:val="4"/>
  </w:num>
  <w:num w:numId="3" w16cid:durableId="1410225613">
    <w:abstractNumId w:val="0"/>
  </w:num>
  <w:num w:numId="4" w16cid:durableId="846480754">
    <w:abstractNumId w:val="1"/>
  </w:num>
  <w:num w:numId="5" w16cid:durableId="1625038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7"/>
    <w:rsid w:val="000E33FD"/>
    <w:rsid w:val="000F2ED6"/>
    <w:rsid w:val="001076DE"/>
    <w:rsid w:val="00201E7A"/>
    <w:rsid w:val="00244F3D"/>
    <w:rsid w:val="002E4571"/>
    <w:rsid w:val="003D240B"/>
    <w:rsid w:val="003F305B"/>
    <w:rsid w:val="004A1D13"/>
    <w:rsid w:val="00505E8C"/>
    <w:rsid w:val="00514148"/>
    <w:rsid w:val="00614DE0"/>
    <w:rsid w:val="006A7A5E"/>
    <w:rsid w:val="00772FEF"/>
    <w:rsid w:val="007D5614"/>
    <w:rsid w:val="008F2C36"/>
    <w:rsid w:val="009009B7"/>
    <w:rsid w:val="009018AB"/>
    <w:rsid w:val="0098262E"/>
    <w:rsid w:val="00A43B5E"/>
    <w:rsid w:val="00AB22EA"/>
    <w:rsid w:val="00B03DFD"/>
    <w:rsid w:val="00B841FE"/>
    <w:rsid w:val="00BD3381"/>
    <w:rsid w:val="00C73928"/>
    <w:rsid w:val="00C77B9E"/>
    <w:rsid w:val="00D04A92"/>
    <w:rsid w:val="00DB59A1"/>
    <w:rsid w:val="00E040EC"/>
    <w:rsid w:val="00E4727D"/>
    <w:rsid w:val="00EB14ED"/>
    <w:rsid w:val="00F967B9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04BE"/>
  <w15:docId w15:val="{88558F0A-918A-49A7-93C9-2342ACA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B7"/>
  </w:style>
  <w:style w:type="paragraph" w:styleId="Stopka">
    <w:name w:val="footer"/>
    <w:basedOn w:val="Normalny"/>
    <w:link w:val="StopkaZnak"/>
    <w:uiPriority w:val="99"/>
    <w:unhideWhenUsed/>
    <w:rsid w:val="0090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B7"/>
  </w:style>
  <w:style w:type="paragraph" w:styleId="Akapitzlist">
    <w:name w:val="List Paragraph"/>
    <w:basedOn w:val="Normalny"/>
    <w:uiPriority w:val="34"/>
    <w:qFormat/>
    <w:rsid w:val="00E4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walencik</cp:lastModifiedBy>
  <cp:revision>2</cp:revision>
  <dcterms:created xsi:type="dcterms:W3CDTF">2023-11-27T09:10:00Z</dcterms:created>
  <dcterms:modified xsi:type="dcterms:W3CDTF">2023-11-27T09:10:00Z</dcterms:modified>
</cp:coreProperties>
</file>