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jc w:val="center"/>
        <w:tblLayout w:type="fixed"/>
        <w:tblLook w:val="01E0" w:firstRow="1" w:lastRow="1" w:firstColumn="1" w:lastColumn="1" w:noHBand="0" w:noVBand="0"/>
      </w:tblPr>
      <w:tblGrid>
        <w:gridCol w:w="2043"/>
        <w:gridCol w:w="2893"/>
        <w:gridCol w:w="2546"/>
        <w:gridCol w:w="1131"/>
        <w:gridCol w:w="1703"/>
      </w:tblGrid>
      <w:tr w:rsidR="00EC0584" w14:paraId="06A9C4FC" w14:textId="77777777" w:rsidTr="00A42079">
        <w:trPr>
          <w:trHeight w:val="567"/>
          <w:jc w:val="center"/>
        </w:trPr>
        <w:tc>
          <w:tcPr>
            <w:tcW w:w="2043" w:type="dxa"/>
            <w:vMerge w:val="restart"/>
            <w:tcBorders>
              <w:top w:val="nil"/>
              <w:left w:val="nil"/>
              <w:bottom w:val="double" w:sz="4" w:space="0" w:color="595959"/>
              <w:right w:val="nil"/>
            </w:tcBorders>
          </w:tcPr>
          <w:p w14:paraId="79850879" w14:textId="77777777" w:rsidR="00EC0584" w:rsidRDefault="00491CBA">
            <w:pPr>
              <w:tabs>
                <w:tab w:val="center" w:pos="4536"/>
                <w:tab w:val="right" w:pos="9072"/>
              </w:tabs>
              <w:spacing w:after="0" w:line="240" w:lineRule="auto"/>
              <w:rPr>
                <w:rFonts w:ascii="MS Sans Serif" w:hAnsi="MS Sans Serif"/>
                <w:lang w:val="en-US"/>
              </w:rPr>
            </w:pPr>
            <w:r>
              <w:rPr>
                <w:rFonts w:ascii="MS Sans Serif" w:hAnsi="MS Sans Serif"/>
                <w:noProof/>
              </w:rPr>
              <w:drawing>
                <wp:anchor distT="0" distB="0" distL="0" distR="0" simplePos="0" relativeHeight="3" behindDoc="0" locked="0" layoutInCell="1" allowOverlap="1" wp14:anchorId="7A0C64FD" wp14:editId="488B454E">
                  <wp:simplePos x="0" y="0"/>
                  <wp:positionH relativeFrom="column">
                    <wp:posOffset>245745</wp:posOffset>
                  </wp:positionH>
                  <wp:positionV relativeFrom="paragraph">
                    <wp:posOffset>104140</wp:posOffset>
                  </wp:positionV>
                  <wp:extent cx="857250" cy="1043940"/>
                  <wp:effectExtent l="0" t="0" r="0" b="0"/>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nb"/>
                          <pic:cNvPicPr>
                            <a:picLocks noChangeAspect="1" noChangeArrowheads="1"/>
                          </pic:cNvPicPr>
                        </pic:nvPicPr>
                        <pic:blipFill>
                          <a:blip r:embed="rId8"/>
                          <a:stretch>
                            <a:fillRect/>
                          </a:stretch>
                        </pic:blipFill>
                        <pic:spPr bwMode="auto">
                          <a:xfrm>
                            <a:off x="0" y="0"/>
                            <a:ext cx="857250" cy="1043940"/>
                          </a:xfrm>
                          <a:prstGeom prst="rect">
                            <a:avLst/>
                          </a:prstGeom>
                        </pic:spPr>
                      </pic:pic>
                    </a:graphicData>
                  </a:graphic>
                </wp:anchor>
              </w:drawing>
            </w:r>
          </w:p>
        </w:tc>
        <w:tc>
          <w:tcPr>
            <w:tcW w:w="6570" w:type="dxa"/>
            <w:gridSpan w:val="3"/>
            <w:tcBorders>
              <w:top w:val="nil"/>
              <w:left w:val="nil"/>
              <w:bottom w:val="nil"/>
              <w:right w:val="nil"/>
            </w:tcBorders>
            <w:vAlign w:val="center"/>
          </w:tcPr>
          <w:p w14:paraId="7FA2F21B" w14:textId="77777777" w:rsidR="00EC0584" w:rsidRDefault="00491CBA">
            <w:pPr>
              <w:tabs>
                <w:tab w:val="center" w:pos="4536"/>
                <w:tab w:val="right" w:pos="9072"/>
              </w:tabs>
              <w:spacing w:after="0" w:line="240" w:lineRule="auto"/>
              <w:rPr>
                <w:rFonts w:ascii="Cambria" w:hAnsi="Cambria"/>
                <w:b/>
                <w:color w:val="595959" w:themeColor="text1" w:themeTint="A6"/>
                <w:sz w:val="28"/>
                <w:szCs w:val="28"/>
              </w:rPr>
            </w:pPr>
            <w:r>
              <w:rPr>
                <w:rFonts w:ascii="Cambria" w:eastAsia="Times New Roman" w:hAnsi="Cambria" w:cs="Times New Roman"/>
                <w:b/>
                <w:color w:val="595959" w:themeColor="text1" w:themeTint="A6"/>
                <w:sz w:val="28"/>
                <w:szCs w:val="28"/>
              </w:rPr>
              <w:t>Burmistrz Nowogrodu Bobrzańskiego</w:t>
            </w:r>
          </w:p>
        </w:tc>
        <w:tc>
          <w:tcPr>
            <w:tcW w:w="1703" w:type="dxa"/>
            <w:tcBorders>
              <w:top w:val="nil"/>
              <w:left w:val="nil"/>
              <w:bottom w:val="nil"/>
              <w:right w:val="nil"/>
            </w:tcBorders>
          </w:tcPr>
          <w:p w14:paraId="292EE23B" w14:textId="77777777" w:rsidR="00EC0584" w:rsidRDefault="00EC0584">
            <w:pPr>
              <w:tabs>
                <w:tab w:val="center" w:pos="4536"/>
                <w:tab w:val="right" w:pos="9072"/>
              </w:tabs>
              <w:spacing w:after="0" w:line="240" w:lineRule="auto"/>
              <w:jc w:val="right"/>
              <w:rPr>
                <w:rFonts w:ascii="MS Sans Serif" w:hAnsi="MS Sans Serif"/>
                <w:color w:val="595959" w:themeColor="text1" w:themeTint="A6"/>
                <w:lang w:val="en-US"/>
              </w:rPr>
            </w:pPr>
          </w:p>
        </w:tc>
      </w:tr>
      <w:tr w:rsidR="00EC0584" w14:paraId="3E070F5B" w14:textId="77777777" w:rsidTr="00A42079">
        <w:trPr>
          <w:trHeight w:val="1418"/>
          <w:jc w:val="center"/>
        </w:trPr>
        <w:tc>
          <w:tcPr>
            <w:tcW w:w="2043" w:type="dxa"/>
            <w:vMerge/>
            <w:tcBorders>
              <w:top w:val="nil"/>
              <w:left w:val="nil"/>
              <w:bottom w:val="double" w:sz="4" w:space="0" w:color="595959"/>
              <w:right w:val="nil"/>
            </w:tcBorders>
          </w:tcPr>
          <w:p w14:paraId="39F698F7" w14:textId="77777777" w:rsidR="00EC0584" w:rsidRDefault="00EC0584">
            <w:pPr>
              <w:tabs>
                <w:tab w:val="center" w:pos="4536"/>
                <w:tab w:val="right" w:pos="9072"/>
              </w:tabs>
              <w:spacing w:after="0" w:line="240" w:lineRule="auto"/>
              <w:rPr>
                <w:rFonts w:ascii="MS Sans Serif" w:hAnsi="MS Sans Serif"/>
                <w:lang w:val="en-US"/>
              </w:rPr>
            </w:pPr>
          </w:p>
        </w:tc>
        <w:tc>
          <w:tcPr>
            <w:tcW w:w="2893" w:type="dxa"/>
            <w:tcBorders>
              <w:top w:val="nil"/>
              <w:left w:val="nil"/>
              <w:bottom w:val="double" w:sz="4" w:space="0" w:color="595959"/>
              <w:right w:val="nil"/>
            </w:tcBorders>
          </w:tcPr>
          <w:p w14:paraId="44571605" w14:textId="77777777" w:rsidR="00EC0584" w:rsidRDefault="00491CBA">
            <w:pPr>
              <w:spacing w:after="0" w:line="240" w:lineRule="auto"/>
              <w:rPr>
                <w:color w:val="595959" w:themeColor="text1" w:themeTint="A6"/>
              </w:rPr>
            </w:pPr>
            <w:r>
              <w:rPr>
                <w:rFonts w:ascii="Cambria" w:eastAsia="Times New Roman" w:hAnsi="Cambria" w:cs="Times New Roman"/>
                <w:color w:val="595959" w:themeColor="text1" w:themeTint="A6"/>
                <w:sz w:val="18"/>
                <w:szCs w:val="18"/>
              </w:rPr>
              <w:t>ul.  Słowackiego 11</w:t>
            </w:r>
          </w:p>
          <w:p w14:paraId="5BF492EF" w14:textId="77777777" w:rsidR="00EC0584" w:rsidRDefault="00491CBA">
            <w:pPr>
              <w:spacing w:after="0" w:line="240" w:lineRule="auto"/>
              <w:rPr>
                <w:rFonts w:ascii="Cambria" w:hAnsi="Cambria"/>
                <w:color w:val="595959" w:themeColor="text1" w:themeTint="A6"/>
                <w:sz w:val="18"/>
                <w:szCs w:val="18"/>
              </w:rPr>
            </w:pPr>
            <w:r>
              <w:rPr>
                <w:rFonts w:ascii="Cambria" w:eastAsia="Times New Roman" w:hAnsi="Cambria" w:cs="Times New Roman"/>
                <w:color w:val="595959" w:themeColor="text1" w:themeTint="A6"/>
                <w:sz w:val="18"/>
                <w:szCs w:val="18"/>
              </w:rPr>
              <w:t>66-010 Nowogród Bobrzański</w:t>
            </w:r>
          </w:p>
          <w:p w14:paraId="50B5C1DA" w14:textId="77777777" w:rsidR="00EC0584" w:rsidRDefault="00491CBA">
            <w:pPr>
              <w:spacing w:after="0" w:line="240" w:lineRule="auto"/>
              <w:rPr>
                <w:rFonts w:ascii="Cambria" w:hAnsi="Cambria"/>
                <w:color w:val="595959" w:themeColor="text1" w:themeTint="A6"/>
                <w:sz w:val="18"/>
                <w:szCs w:val="18"/>
              </w:rPr>
            </w:pPr>
            <w:r>
              <w:rPr>
                <w:rFonts w:ascii="Cambria" w:eastAsia="Times New Roman" w:hAnsi="Cambria" w:cs="Times New Roman"/>
                <w:color w:val="595959" w:themeColor="text1" w:themeTint="A6"/>
                <w:sz w:val="18"/>
                <w:szCs w:val="18"/>
              </w:rPr>
              <w:t>NIP: 9291004928</w:t>
            </w:r>
          </w:p>
          <w:p w14:paraId="67DA98AB" w14:textId="77777777" w:rsidR="00EC0584" w:rsidRDefault="00491CBA">
            <w:pPr>
              <w:spacing w:after="0" w:line="240" w:lineRule="auto"/>
              <w:rPr>
                <w:rFonts w:ascii="Cambria" w:hAnsi="Cambria"/>
                <w:color w:val="595959" w:themeColor="text1" w:themeTint="A6"/>
                <w:sz w:val="18"/>
                <w:szCs w:val="18"/>
                <w:lang w:val="de-DE"/>
              </w:rPr>
            </w:pPr>
            <w:r>
              <w:rPr>
                <w:rFonts w:ascii="Cambria" w:eastAsia="Times New Roman" w:hAnsi="Cambria" w:cs="Times New Roman"/>
                <w:color w:val="595959" w:themeColor="text1" w:themeTint="A6"/>
                <w:sz w:val="18"/>
                <w:szCs w:val="18"/>
                <w:lang w:val="de-DE"/>
              </w:rPr>
              <w:br/>
            </w:r>
            <w:proofErr w:type="spellStart"/>
            <w:r>
              <w:rPr>
                <w:rFonts w:ascii="Cambria" w:eastAsia="Times New Roman" w:hAnsi="Cambria" w:cs="Times New Roman"/>
                <w:color w:val="595959" w:themeColor="text1" w:themeTint="A6"/>
                <w:sz w:val="18"/>
                <w:szCs w:val="18"/>
                <w:lang w:val="de-DE"/>
              </w:rPr>
              <w:t>e-mail</w:t>
            </w:r>
            <w:proofErr w:type="spellEnd"/>
            <w:r>
              <w:rPr>
                <w:rFonts w:ascii="Cambria" w:eastAsia="Times New Roman" w:hAnsi="Cambria" w:cs="Times New Roman"/>
                <w:color w:val="595959" w:themeColor="text1" w:themeTint="A6"/>
                <w:sz w:val="18"/>
                <w:szCs w:val="18"/>
                <w:lang w:val="de-DE"/>
              </w:rPr>
              <w:t>: gmina</w:t>
            </w:r>
            <w:r>
              <w:rPr>
                <w:rFonts w:ascii="Cambria" w:eastAsia="Times New Roman" w:hAnsi="Cambria" w:cs="Times New Roman"/>
                <w:color w:val="595959"/>
                <w:sz w:val="18"/>
                <w:szCs w:val="18"/>
                <w:lang w:val="de-DE"/>
              </w:rPr>
              <w:t>@nowogrodbobrz.pl</w:t>
            </w:r>
            <w:r>
              <w:rPr>
                <w:rFonts w:ascii="Cambria" w:eastAsia="Times New Roman" w:hAnsi="Cambria" w:cs="Times New Roman"/>
                <w:color w:val="595959" w:themeColor="text1" w:themeTint="A6"/>
                <w:sz w:val="18"/>
                <w:szCs w:val="18"/>
                <w:lang w:val="de-DE"/>
              </w:rPr>
              <w:br/>
            </w:r>
            <w:proofErr w:type="spellStart"/>
            <w:r>
              <w:rPr>
                <w:rFonts w:ascii="Cambria" w:eastAsia="Times New Roman" w:hAnsi="Cambria" w:cs="Times New Roman"/>
                <w:color w:val="595959" w:themeColor="text1" w:themeTint="A6"/>
                <w:sz w:val="18"/>
                <w:szCs w:val="18"/>
                <w:lang w:val="de-DE"/>
              </w:rPr>
              <w:t>web</w:t>
            </w:r>
            <w:proofErr w:type="spellEnd"/>
            <w:r>
              <w:rPr>
                <w:rFonts w:ascii="Cambria" w:eastAsia="Times New Roman" w:hAnsi="Cambria" w:cs="Times New Roman"/>
                <w:color w:val="595959" w:themeColor="text1" w:themeTint="A6"/>
                <w:sz w:val="18"/>
                <w:szCs w:val="18"/>
                <w:lang w:val="de-DE"/>
              </w:rPr>
              <w:t>: www.nowogrodbobrz.pl</w:t>
            </w:r>
          </w:p>
        </w:tc>
        <w:tc>
          <w:tcPr>
            <w:tcW w:w="2546" w:type="dxa"/>
            <w:tcBorders>
              <w:top w:val="nil"/>
              <w:left w:val="nil"/>
              <w:bottom w:val="double" w:sz="4" w:space="0" w:color="595959"/>
              <w:right w:val="nil"/>
            </w:tcBorders>
          </w:tcPr>
          <w:p w14:paraId="481FB51B" w14:textId="77777777" w:rsidR="00EC0584" w:rsidRDefault="00491CBA">
            <w:pPr>
              <w:tabs>
                <w:tab w:val="center" w:pos="4536"/>
                <w:tab w:val="right" w:pos="9072"/>
              </w:tabs>
              <w:spacing w:after="0" w:line="240" w:lineRule="auto"/>
              <w:rPr>
                <w:rFonts w:asciiTheme="majorHAnsi" w:hAnsiTheme="majorHAnsi"/>
                <w:color w:val="595959" w:themeColor="text1" w:themeTint="A6"/>
                <w:sz w:val="18"/>
                <w:szCs w:val="18"/>
              </w:rPr>
            </w:pPr>
            <w:r>
              <w:rPr>
                <w:rFonts w:asciiTheme="majorHAnsi" w:eastAsia="Times New Roman" w:hAnsiTheme="majorHAnsi" w:cs="Times New Roman"/>
                <w:color w:val="595959" w:themeColor="text1" w:themeTint="A6"/>
                <w:sz w:val="18"/>
                <w:szCs w:val="18"/>
              </w:rPr>
              <w:t>Dni i godziny urzędowania:</w:t>
            </w:r>
          </w:p>
          <w:p w14:paraId="0373B69D" w14:textId="77777777" w:rsidR="00EC0584" w:rsidRDefault="00491CBA">
            <w:pPr>
              <w:tabs>
                <w:tab w:val="center" w:pos="4536"/>
                <w:tab w:val="right" w:pos="9072"/>
              </w:tabs>
              <w:spacing w:after="0" w:line="240" w:lineRule="auto"/>
              <w:rPr>
                <w:rFonts w:asciiTheme="majorHAnsi" w:hAnsiTheme="majorHAnsi"/>
                <w:color w:val="595959" w:themeColor="text1" w:themeTint="A6"/>
                <w:sz w:val="18"/>
                <w:szCs w:val="18"/>
              </w:rPr>
            </w:pPr>
            <w:r>
              <w:rPr>
                <w:rFonts w:asciiTheme="majorHAnsi" w:eastAsia="Times New Roman" w:hAnsiTheme="majorHAnsi" w:cs="Times New Roman"/>
                <w:color w:val="595959" w:themeColor="text1" w:themeTint="A6"/>
                <w:sz w:val="18"/>
                <w:szCs w:val="18"/>
              </w:rPr>
              <w:t>Poniedziałek  8.00-16.00</w:t>
            </w:r>
          </w:p>
          <w:p w14:paraId="0931446F" w14:textId="77777777" w:rsidR="00EC0584" w:rsidRDefault="00491CBA">
            <w:pPr>
              <w:tabs>
                <w:tab w:val="center" w:pos="4536"/>
                <w:tab w:val="right" w:pos="9072"/>
              </w:tabs>
              <w:spacing w:after="0" w:line="240" w:lineRule="auto"/>
              <w:rPr>
                <w:rFonts w:ascii="MS Sans Serif" w:hAnsi="MS Sans Serif"/>
                <w:color w:val="595959" w:themeColor="text1" w:themeTint="A6"/>
                <w:sz w:val="8"/>
                <w:szCs w:val="8"/>
              </w:rPr>
            </w:pPr>
            <w:r>
              <w:rPr>
                <w:rFonts w:asciiTheme="majorHAnsi" w:eastAsia="Times New Roman" w:hAnsiTheme="majorHAnsi" w:cs="Times New Roman"/>
                <w:color w:val="595959" w:themeColor="text1" w:themeTint="A6"/>
                <w:sz w:val="18"/>
                <w:szCs w:val="18"/>
              </w:rPr>
              <w:t>wtorek - piątek.7.00 – 15.00</w:t>
            </w:r>
          </w:p>
        </w:tc>
        <w:tc>
          <w:tcPr>
            <w:tcW w:w="2834" w:type="dxa"/>
            <w:gridSpan w:val="2"/>
            <w:tcBorders>
              <w:top w:val="nil"/>
              <w:left w:val="nil"/>
              <w:bottom w:val="double" w:sz="4" w:space="0" w:color="595959"/>
              <w:right w:val="nil"/>
            </w:tcBorders>
          </w:tcPr>
          <w:p w14:paraId="421B0DEC" w14:textId="77777777" w:rsidR="00EC0584" w:rsidRDefault="00491CBA">
            <w:pPr>
              <w:tabs>
                <w:tab w:val="center" w:pos="4536"/>
                <w:tab w:val="right" w:pos="9072"/>
              </w:tabs>
              <w:spacing w:after="0" w:line="240" w:lineRule="auto"/>
              <w:rPr>
                <w:rFonts w:asciiTheme="majorHAnsi" w:hAnsiTheme="majorHAnsi"/>
                <w:b/>
                <w:color w:val="595959" w:themeColor="text1" w:themeTint="A6"/>
                <w:sz w:val="18"/>
                <w:szCs w:val="18"/>
              </w:rPr>
            </w:pPr>
            <w:r>
              <w:rPr>
                <w:rFonts w:asciiTheme="majorHAnsi" w:eastAsia="Times New Roman" w:hAnsiTheme="majorHAnsi" w:cs="Times New Roman"/>
                <w:b/>
                <w:color w:val="595959" w:themeColor="text1" w:themeTint="A6"/>
                <w:sz w:val="18"/>
                <w:szCs w:val="18"/>
              </w:rPr>
              <w:t>Nr telefonów i faksów:</w:t>
            </w:r>
          </w:p>
          <w:p w14:paraId="22F1E809" w14:textId="77777777" w:rsidR="00EC0584" w:rsidRDefault="00491CBA">
            <w:pPr>
              <w:tabs>
                <w:tab w:val="center" w:pos="4536"/>
                <w:tab w:val="right" w:pos="9072"/>
              </w:tabs>
              <w:spacing w:after="0" w:line="240" w:lineRule="auto"/>
              <w:rPr>
                <w:rFonts w:asciiTheme="majorHAnsi" w:hAnsiTheme="majorHAnsi"/>
                <w:color w:val="595959" w:themeColor="text1" w:themeTint="A6"/>
                <w:sz w:val="18"/>
                <w:szCs w:val="18"/>
              </w:rPr>
            </w:pPr>
            <w:r>
              <w:rPr>
                <w:rFonts w:asciiTheme="majorHAnsi" w:eastAsia="Times New Roman" w:hAnsiTheme="majorHAnsi" w:cs="Times New Roman"/>
                <w:color w:val="595959" w:themeColor="text1" w:themeTint="A6"/>
                <w:sz w:val="18"/>
                <w:szCs w:val="18"/>
              </w:rPr>
              <w:t>Centrala   517886299</w:t>
            </w:r>
          </w:p>
          <w:p w14:paraId="355F57D1" w14:textId="77777777" w:rsidR="00EC0584" w:rsidRDefault="00491CBA">
            <w:pPr>
              <w:tabs>
                <w:tab w:val="center" w:pos="4536"/>
                <w:tab w:val="right" w:pos="9072"/>
              </w:tabs>
              <w:spacing w:after="0" w:line="240" w:lineRule="auto"/>
              <w:rPr>
                <w:rFonts w:asciiTheme="majorHAnsi" w:hAnsiTheme="majorHAnsi"/>
                <w:color w:val="595959" w:themeColor="text1" w:themeTint="A6"/>
                <w:sz w:val="18"/>
                <w:szCs w:val="18"/>
              </w:rPr>
            </w:pPr>
            <w:r>
              <w:rPr>
                <w:rFonts w:asciiTheme="majorHAnsi" w:eastAsia="Times New Roman" w:hAnsiTheme="majorHAnsi" w:cs="Times New Roman"/>
                <w:color w:val="595959" w:themeColor="text1" w:themeTint="A6"/>
                <w:sz w:val="18"/>
                <w:szCs w:val="18"/>
              </w:rPr>
              <w:t xml:space="preserve">Fax             </w:t>
            </w:r>
            <w:r>
              <w:rPr>
                <w:rFonts w:ascii="Cambria" w:eastAsia="Times New Roman" w:hAnsi="Cambria" w:cs="Times New Roman"/>
                <w:color w:val="595959"/>
                <w:sz w:val="18"/>
                <w:szCs w:val="18"/>
              </w:rPr>
              <w:t>68 411 39 32</w:t>
            </w:r>
          </w:p>
          <w:p w14:paraId="25B8CFC2" w14:textId="77777777" w:rsidR="00EC0584" w:rsidRDefault="00EC0584">
            <w:pPr>
              <w:tabs>
                <w:tab w:val="center" w:pos="4536"/>
                <w:tab w:val="right" w:pos="9072"/>
              </w:tabs>
              <w:spacing w:after="0" w:line="240" w:lineRule="auto"/>
              <w:rPr>
                <w:rFonts w:ascii="Arial Narrow" w:hAnsi="Arial Narrow"/>
                <w:color w:val="595959" w:themeColor="text1" w:themeTint="A6"/>
                <w:sz w:val="18"/>
                <w:szCs w:val="18"/>
              </w:rPr>
            </w:pPr>
          </w:p>
        </w:tc>
      </w:tr>
    </w:tbl>
    <w:p w14:paraId="0F0BBBCF" w14:textId="0482A918" w:rsidR="00A42079" w:rsidRPr="009C6A0D" w:rsidRDefault="00A42079" w:rsidP="00A42079">
      <w:pPr>
        <w:spacing w:after="0" w:line="240" w:lineRule="auto"/>
        <w:jc w:val="both"/>
        <w:rPr>
          <w:rFonts w:ascii="Times New Roman" w:eastAsia="Noto Sans CJK SC Regular" w:hAnsi="Times New Roman" w:cs="Lohit Devanagari"/>
          <w:bCs/>
          <w:kern w:val="2"/>
          <w:sz w:val="24"/>
          <w:szCs w:val="24"/>
          <w:lang w:eastAsia="zh-CN" w:bidi="hi-IN"/>
        </w:rPr>
      </w:pPr>
      <w:r>
        <w:rPr>
          <w:rFonts w:ascii="Times New Roman" w:eastAsia="Noto Sans CJK SC Regular" w:hAnsi="Times New Roman" w:cs="Lohit Devanagari"/>
          <w:bCs/>
          <w:kern w:val="2"/>
          <w:sz w:val="24"/>
          <w:szCs w:val="24"/>
          <w:lang w:eastAsia="zh-CN" w:bidi="hi-IN"/>
        </w:rPr>
        <w:tab/>
      </w:r>
      <w:r>
        <w:rPr>
          <w:rFonts w:ascii="Times New Roman" w:eastAsia="Noto Sans CJK SC Regular" w:hAnsi="Times New Roman" w:cs="Lohit Devanagari"/>
          <w:bCs/>
          <w:kern w:val="2"/>
          <w:sz w:val="24"/>
          <w:szCs w:val="24"/>
          <w:lang w:eastAsia="zh-CN" w:bidi="hi-IN"/>
        </w:rPr>
        <w:tab/>
      </w:r>
      <w:r>
        <w:rPr>
          <w:rFonts w:ascii="Times New Roman" w:eastAsia="Noto Sans CJK SC Regular" w:hAnsi="Times New Roman" w:cs="Lohit Devanagari"/>
          <w:bCs/>
          <w:kern w:val="2"/>
          <w:sz w:val="24"/>
          <w:szCs w:val="24"/>
          <w:lang w:eastAsia="zh-CN" w:bidi="hi-IN"/>
        </w:rPr>
        <w:tab/>
      </w:r>
      <w:r>
        <w:rPr>
          <w:rFonts w:ascii="Times New Roman" w:eastAsia="Noto Sans CJK SC Regular" w:hAnsi="Times New Roman" w:cs="Lohit Devanagari"/>
          <w:bCs/>
          <w:kern w:val="2"/>
          <w:sz w:val="24"/>
          <w:szCs w:val="24"/>
          <w:lang w:eastAsia="zh-CN" w:bidi="hi-IN"/>
        </w:rPr>
        <w:tab/>
      </w:r>
      <w:r>
        <w:rPr>
          <w:rFonts w:ascii="Times New Roman" w:eastAsia="Noto Sans CJK SC Regular" w:hAnsi="Times New Roman" w:cs="Lohit Devanagari"/>
          <w:bCs/>
          <w:kern w:val="2"/>
          <w:sz w:val="24"/>
          <w:szCs w:val="24"/>
          <w:lang w:eastAsia="zh-CN" w:bidi="hi-IN"/>
        </w:rPr>
        <w:tab/>
      </w:r>
      <w:r w:rsidR="00CE5084">
        <w:rPr>
          <w:rFonts w:ascii="Times New Roman" w:eastAsia="Noto Sans CJK SC Regular" w:hAnsi="Times New Roman" w:cs="Lohit Devanagari"/>
          <w:bCs/>
          <w:kern w:val="2"/>
          <w:sz w:val="24"/>
          <w:szCs w:val="24"/>
          <w:lang w:eastAsia="zh-CN" w:bidi="hi-IN"/>
        </w:rPr>
        <w:t xml:space="preserve">            </w:t>
      </w:r>
      <w:r>
        <w:rPr>
          <w:rFonts w:ascii="Times New Roman" w:eastAsia="Noto Sans CJK SC Regular" w:hAnsi="Times New Roman" w:cs="Lohit Devanagari"/>
          <w:bCs/>
          <w:kern w:val="2"/>
          <w:sz w:val="24"/>
          <w:szCs w:val="24"/>
          <w:lang w:eastAsia="zh-CN" w:bidi="hi-IN"/>
        </w:rPr>
        <w:t>Nowogród Bobrzański,</w:t>
      </w:r>
      <w:r w:rsidR="00013BBA">
        <w:rPr>
          <w:rFonts w:ascii="Times New Roman" w:eastAsia="Noto Sans CJK SC Regular" w:hAnsi="Times New Roman" w:cs="Lohit Devanagari"/>
          <w:bCs/>
          <w:kern w:val="2"/>
          <w:sz w:val="24"/>
          <w:szCs w:val="24"/>
          <w:lang w:eastAsia="zh-CN" w:bidi="hi-IN"/>
        </w:rPr>
        <w:t xml:space="preserve"> 27 listopada 2023</w:t>
      </w:r>
    </w:p>
    <w:p w14:paraId="5030A414" w14:textId="3F008000" w:rsidR="00A42079" w:rsidRPr="009C6A0D" w:rsidRDefault="00A42079" w:rsidP="00A42079">
      <w:pPr>
        <w:spacing w:after="0" w:line="240" w:lineRule="auto"/>
        <w:jc w:val="both"/>
        <w:rPr>
          <w:rFonts w:ascii="Times New Roman" w:eastAsia="Noto Sans CJK SC Regular" w:hAnsi="Times New Roman" w:cs="Lohit Devanagari"/>
          <w:bCs/>
          <w:kern w:val="2"/>
          <w:lang w:eastAsia="zh-CN" w:bidi="hi-IN"/>
        </w:rPr>
      </w:pPr>
      <w:r w:rsidRPr="009C6A0D">
        <w:rPr>
          <w:rFonts w:ascii="Times New Roman" w:eastAsia="Noto Sans CJK SC Regular" w:hAnsi="Times New Roman" w:cs="Lohit Devanagari"/>
          <w:bCs/>
          <w:kern w:val="2"/>
          <w:lang w:eastAsia="zh-CN" w:bidi="hi-IN"/>
        </w:rPr>
        <w:t>GKIII.6220.</w:t>
      </w:r>
      <w:r>
        <w:rPr>
          <w:rFonts w:ascii="Times New Roman" w:eastAsia="Noto Sans CJK SC Regular" w:hAnsi="Times New Roman" w:cs="Lohit Devanagari"/>
          <w:bCs/>
          <w:kern w:val="2"/>
          <w:lang w:eastAsia="zh-CN" w:bidi="hi-IN"/>
        </w:rPr>
        <w:t>5.2023</w:t>
      </w:r>
      <w:r w:rsidRPr="009C6A0D">
        <w:rPr>
          <w:rFonts w:ascii="Times New Roman" w:eastAsia="Noto Sans CJK SC Regular" w:hAnsi="Times New Roman" w:cs="Lohit Devanagari"/>
          <w:bCs/>
          <w:kern w:val="2"/>
          <w:lang w:eastAsia="zh-CN" w:bidi="hi-IN"/>
        </w:rPr>
        <w:t>.</w:t>
      </w:r>
      <w:r w:rsidR="00704495">
        <w:rPr>
          <w:rFonts w:ascii="Times New Roman" w:eastAsia="Noto Sans CJK SC Regular" w:hAnsi="Times New Roman" w:cs="Lohit Devanagari"/>
          <w:bCs/>
          <w:kern w:val="2"/>
          <w:lang w:eastAsia="zh-CN" w:bidi="hi-IN"/>
        </w:rPr>
        <w:t>MW</w:t>
      </w:r>
    </w:p>
    <w:p w14:paraId="75136FB9" w14:textId="77777777" w:rsidR="00A42079" w:rsidRPr="009C6A0D" w:rsidRDefault="00A42079" w:rsidP="00A42079">
      <w:pPr>
        <w:spacing w:after="0" w:line="240" w:lineRule="auto"/>
        <w:jc w:val="both"/>
        <w:rPr>
          <w:rFonts w:ascii="Times New Roman" w:eastAsia="Noto Sans CJK SC Regular" w:hAnsi="Times New Roman" w:cs="Lohit Devanagari"/>
          <w:bCs/>
          <w:kern w:val="2"/>
          <w:sz w:val="24"/>
          <w:szCs w:val="24"/>
          <w:lang w:eastAsia="zh-CN" w:bidi="hi-IN"/>
        </w:rPr>
      </w:pPr>
    </w:p>
    <w:p w14:paraId="05B211F5" w14:textId="77777777" w:rsidR="00A42079" w:rsidRPr="009C6A0D" w:rsidRDefault="00A42079" w:rsidP="00A42079">
      <w:pPr>
        <w:spacing w:after="0" w:line="240" w:lineRule="auto"/>
        <w:jc w:val="center"/>
        <w:rPr>
          <w:rFonts w:ascii="Liberation Serif" w:eastAsia="Noto Sans CJK SC Regular" w:hAnsi="Liberation Serif" w:cs="Lohit Devanagari"/>
          <w:kern w:val="2"/>
          <w:sz w:val="24"/>
          <w:szCs w:val="24"/>
          <w:lang w:eastAsia="zh-CN" w:bidi="hi-IN"/>
        </w:rPr>
      </w:pPr>
      <w:r w:rsidRPr="009C6A0D">
        <w:rPr>
          <w:rFonts w:ascii="Times New Roman" w:eastAsia="Noto Sans CJK SC Regular" w:hAnsi="Times New Roman" w:cs="Lohit Devanagari"/>
          <w:b/>
          <w:bCs/>
          <w:kern w:val="2"/>
          <w:sz w:val="24"/>
          <w:szCs w:val="24"/>
          <w:lang w:eastAsia="zh-CN" w:bidi="hi-IN"/>
        </w:rPr>
        <w:t>DECYZJA</w:t>
      </w:r>
    </w:p>
    <w:p w14:paraId="1B67A053" w14:textId="77777777" w:rsidR="00A42079" w:rsidRPr="009C6A0D" w:rsidRDefault="00A42079" w:rsidP="00A42079">
      <w:pPr>
        <w:spacing w:after="0" w:line="240" w:lineRule="auto"/>
        <w:jc w:val="center"/>
        <w:rPr>
          <w:rFonts w:ascii="Liberation Serif" w:eastAsia="Noto Sans CJK SC Regular" w:hAnsi="Liberation Serif" w:cs="Lohit Devanagari"/>
          <w:kern w:val="2"/>
          <w:sz w:val="24"/>
          <w:szCs w:val="24"/>
          <w:lang w:eastAsia="zh-CN" w:bidi="hi-IN"/>
        </w:rPr>
      </w:pPr>
      <w:r w:rsidRPr="009C6A0D">
        <w:rPr>
          <w:rFonts w:ascii="Times New Roman" w:eastAsia="Noto Sans CJK SC Regular" w:hAnsi="Times New Roman" w:cs="Lohit Devanagari"/>
          <w:b/>
          <w:bCs/>
          <w:kern w:val="2"/>
          <w:sz w:val="24"/>
          <w:szCs w:val="24"/>
          <w:lang w:eastAsia="zh-CN" w:bidi="hi-IN"/>
        </w:rPr>
        <w:t>o środowiskowych uwarunkowaniach</w:t>
      </w:r>
    </w:p>
    <w:p w14:paraId="717E4C18" w14:textId="77777777" w:rsidR="00A42079" w:rsidRPr="009C6A0D" w:rsidRDefault="00A42079" w:rsidP="00A42079">
      <w:pPr>
        <w:spacing w:after="0" w:line="240" w:lineRule="auto"/>
        <w:jc w:val="center"/>
        <w:rPr>
          <w:rFonts w:ascii="Times New Roman" w:eastAsia="Noto Sans CJK SC Regular" w:hAnsi="Times New Roman" w:cs="Lohit Devanagari"/>
          <w:kern w:val="2"/>
          <w:sz w:val="24"/>
          <w:szCs w:val="24"/>
          <w:lang w:eastAsia="zh-CN" w:bidi="hi-IN"/>
        </w:rPr>
      </w:pPr>
    </w:p>
    <w:p w14:paraId="153A1A8D" w14:textId="0052282A" w:rsidR="00A42079" w:rsidRPr="00A42079" w:rsidRDefault="00A42079" w:rsidP="00A42079">
      <w:pPr>
        <w:spacing w:after="0"/>
        <w:jc w:val="both"/>
        <w:rPr>
          <w:rFonts w:ascii="Times New Roman" w:hAnsi="Times New Roman" w:cs="Times New Roman"/>
          <w:b/>
          <w:bCs/>
          <w:color w:val="FF0000"/>
          <w:sz w:val="20"/>
          <w:szCs w:val="20"/>
        </w:rPr>
      </w:pPr>
      <w:r w:rsidRPr="009E1FA0">
        <w:rPr>
          <w:rFonts w:ascii="Times New Roman" w:eastAsia="Noto Sans CJK SC Regular" w:hAnsi="Times New Roman" w:cs="Lohit Devanagari"/>
          <w:kern w:val="2"/>
          <w:sz w:val="24"/>
          <w:szCs w:val="24"/>
          <w:lang w:eastAsia="zh-CN" w:bidi="hi-IN"/>
        </w:rPr>
        <w:tab/>
        <w:t xml:space="preserve">Na podstawie art. 104 ustawy z dnia 14 czerwca 1960r. </w:t>
      </w:r>
      <w:r w:rsidRPr="009E1FA0">
        <w:rPr>
          <w:rFonts w:ascii="Times New Roman" w:eastAsia="Noto Sans CJK SC Regular" w:hAnsi="Times New Roman" w:cs="Lohit Devanagari"/>
          <w:i/>
          <w:kern w:val="2"/>
          <w:sz w:val="24"/>
          <w:szCs w:val="24"/>
          <w:lang w:eastAsia="zh-CN" w:bidi="hi-IN"/>
        </w:rPr>
        <w:t>Kodeks postępowania administracyjnego</w:t>
      </w:r>
      <w:r w:rsidRPr="009E1FA0">
        <w:rPr>
          <w:rFonts w:ascii="Times New Roman" w:eastAsia="Noto Sans CJK SC Regular" w:hAnsi="Times New Roman" w:cs="Lohit Devanagari"/>
          <w:kern w:val="2"/>
          <w:sz w:val="24"/>
          <w:szCs w:val="24"/>
          <w:lang w:eastAsia="zh-CN" w:bidi="hi-IN"/>
        </w:rPr>
        <w:t xml:space="preserve"> (Dz. U. z 2023 r., poz. 775 z </w:t>
      </w:r>
      <w:proofErr w:type="spellStart"/>
      <w:r w:rsidRPr="009E1FA0">
        <w:rPr>
          <w:rFonts w:ascii="Times New Roman" w:eastAsia="Noto Sans CJK SC Regular" w:hAnsi="Times New Roman" w:cs="Lohit Devanagari"/>
          <w:kern w:val="2"/>
          <w:sz w:val="24"/>
          <w:szCs w:val="24"/>
          <w:lang w:eastAsia="zh-CN" w:bidi="hi-IN"/>
        </w:rPr>
        <w:t>późn</w:t>
      </w:r>
      <w:proofErr w:type="spellEnd"/>
      <w:r w:rsidRPr="009E1FA0">
        <w:rPr>
          <w:rFonts w:ascii="Times New Roman" w:eastAsia="Noto Sans CJK SC Regular" w:hAnsi="Times New Roman" w:cs="Lohit Devanagari"/>
          <w:kern w:val="2"/>
          <w:sz w:val="24"/>
          <w:szCs w:val="24"/>
          <w:lang w:eastAsia="zh-CN" w:bidi="hi-IN"/>
        </w:rPr>
        <w:t xml:space="preserve">. zm.), w związku z art. 71 ust. 2 pkt 2, art. 75 ust. 1 pkt 4 i art. 85 ust. 1 ustawy z dnia 3 października 2008r. </w:t>
      </w:r>
      <w:r w:rsidRPr="009E1FA0">
        <w:rPr>
          <w:rFonts w:ascii="Times New Roman" w:eastAsia="Noto Sans CJK SC Regular" w:hAnsi="Times New Roman" w:cs="Lohit Devanagari"/>
          <w:i/>
          <w:kern w:val="2"/>
          <w:sz w:val="24"/>
          <w:szCs w:val="24"/>
          <w:lang w:eastAsia="zh-CN" w:bidi="hi-IN"/>
        </w:rPr>
        <w:t>o udostępnianiu informacji o środowisku i jego ochronie, udziale społeczeństwa w ochronie środowiska oraz o ocenach oddziaływania na środowisko</w:t>
      </w:r>
      <w:r w:rsidRPr="009E1FA0">
        <w:rPr>
          <w:rFonts w:ascii="Times New Roman" w:eastAsia="Noto Sans CJK SC Regular" w:hAnsi="Times New Roman" w:cs="Lohit Devanagari"/>
          <w:kern w:val="2"/>
          <w:sz w:val="24"/>
          <w:szCs w:val="24"/>
          <w:lang w:eastAsia="zh-CN" w:bidi="hi-IN"/>
        </w:rPr>
        <w:t xml:space="preserve"> (Dz. U. z 2023 r., poz. 1094 z </w:t>
      </w:r>
      <w:proofErr w:type="spellStart"/>
      <w:r w:rsidRPr="009E1FA0">
        <w:rPr>
          <w:rFonts w:ascii="Times New Roman" w:eastAsia="Noto Sans CJK SC Regular" w:hAnsi="Times New Roman" w:cs="Lohit Devanagari"/>
          <w:kern w:val="2"/>
          <w:sz w:val="24"/>
          <w:szCs w:val="24"/>
          <w:lang w:eastAsia="zh-CN" w:bidi="hi-IN"/>
        </w:rPr>
        <w:t>późn</w:t>
      </w:r>
      <w:proofErr w:type="spellEnd"/>
      <w:r w:rsidRPr="009E1FA0">
        <w:rPr>
          <w:rFonts w:ascii="Times New Roman" w:eastAsia="Noto Sans CJK SC Regular" w:hAnsi="Times New Roman" w:cs="Lohit Devanagari"/>
          <w:kern w:val="2"/>
          <w:sz w:val="24"/>
          <w:szCs w:val="24"/>
          <w:lang w:eastAsia="zh-CN" w:bidi="hi-IN"/>
        </w:rPr>
        <w:t>. zm.), a także §</w:t>
      </w:r>
      <w:r w:rsidR="009E1FA0" w:rsidRPr="009E1FA0">
        <w:rPr>
          <w:rFonts w:ascii="Times New Roman" w:eastAsia="Noto Sans CJK SC Regular" w:hAnsi="Times New Roman" w:cs="Lohit Devanagari"/>
          <w:kern w:val="2"/>
          <w:sz w:val="24"/>
          <w:szCs w:val="24"/>
          <w:lang w:eastAsia="zh-CN" w:bidi="hi-IN"/>
        </w:rPr>
        <w:t xml:space="preserve"> </w:t>
      </w:r>
      <w:r w:rsidRPr="009E1FA0">
        <w:rPr>
          <w:rFonts w:ascii="Times New Roman" w:eastAsia="Noto Sans CJK SC Regular" w:hAnsi="Times New Roman" w:cs="Lohit Devanagari"/>
          <w:kern w:val="2"/>
          <w:sz w:val="24"/>
          <w:szCs w:val="24"/>
          <w:lang w:eastAsia="zh-CN" w:bidi="hi-IN"/>
        </w:rPr>
        <w:t>3 ust. 1 pkt 54</w:t>
      </w:r>
      <w:r w:rsidR="009E1FA0" w:rsidRPr="009E1FA0">
        <w:rPr>
          <w:rFonts w:ascii="Times New Roman" w:eastAsia="Noto Sans CJK SC Regular" w:hAnsi="Times New Roman" w:cs="Lohit Devanagari"/>
          <w:kern w:val="2"/>
          <w:sz w:val="24"/>
          <w:szCs w:val="24"/>
          <w:lang w:eastAsia="zh-CN" w:bidi="hi-IN"/>
        </w:rPr>
        <w:t>a</w:t>
      </w:r>
      <w:r w:rsidRPr="009E1FA0">
        <w:rPr>
          <w:rFonts w:ascii="Times New Roman" w:eastAsia="Noto Sans CJK SC Regular" w:hAnsi="Times New Roman" w:cs="Lohit Devanagari"/>
          <w:kern w:val="2"/>
          <w:sz w:val="24"/>
          <w:szCs w:val="24"/>
          <w:lang w:eastAsia="zh-CN" w:bidi="hi-IN"/>
        </w:rPr>
        <w:t xml:space="preserve"> lit. b rozporządzenia Rady Ministrów z dnia 10 września 2019 r. </w:t>
      </w:r>
      <w:r w:rsidRPr="009E1FA0">
        <w:rPr>
          <w:rFonts w:ascii="Times New Roman" w:eastAsia="Noto Sans CJK SC Regular" w:hAnsi="Times New Roman" w:cs="Lohit Devanagari"/>
          <w:i/>
          <w:kern w:val="2"/>
          <w:sz w:val="24"/>
          <w:szCs w:val="24"/>
          <w:lang w:eastAsia="zh-CN" w:bidi="hi-IN"/>
        </w:rPr>
        <w:t>w sprawie przedsięwzięć mogących znacząco oddziaływać na środowisko</w:t>
      </w:r>
      <w:r w:rsidRPr="009E1FA0">
        <w:rPr>
          <w:rFonts w:ascii="Times New Roman" w:eastAsia="Noto Sans CJK SC Regular" w:hAnsi="Times New Roman" w:cs="Lohit Devanagari"/>
          <w:kern w:val="2"/>
          <w:sz w:val="24"/>
          <w:szCs w:val="24"/>
          <w:lang w:eastAsia="zh-CN" w:bidi="hi-IN"/>
        </w:rPr>
        <w:t xml:space="preserve"> (Dz. U. z 2019 r., poz. 1839 ze zm.) po rozpatrzeniu wniosku </w:t>
      </w:r>
      <w:r w:rsidR="009E1FA0" w:rsidRPr="009E1FA0">
        <w:rPr>
          <w:rFonts w:ascii="Times New Roman" w:eastAsia="Noto Sans CJK SC Regular" w:hAnsi="Times New Roman" w:cs="Lohit Devanagari"/>
          <w:kern w:val="2"/>
          <w:sz w:val="24"/>
          <w:szCs w:val="24"/>
          <w:lang w:eastAsia="zh-CN" w:bidi="hi-IN"/>
        </w:rPr>
        <w:t xml:space="preserve">Piotra Czajkowskiego występującego w imieniu i na rzecz </w:t>
      </w:r>
      <w:proofErr w:type="spellStart"/>
      <w:r w:rsidR="009E1FA0" w:rsidRPr="009E1FA0">
        <w:rPr>
          <w:rFonts w:ascii="Times New Roman" w:eastAsia="Noto Sans CJK SC Regular" w:hAnsi="Times New Roman" w:cs="Lohit Devanagari"/>
          <w:kern w:val="2"/>
          <w:sz w:val="24"/>
          <w:szCs w:val="24"/>
          <w:lang w:eastAsia="zh-CN" w:bidi="hi-IN"/>
        </w:rPr>
        <w:t>Axpo</w:t>
      </w:r>
      <w:proofErr w:type="spellEnd"/>
      <w:r w:rsidR="009E1FA0" w:rsidRPr="009E1FA0">
        <w:rPr>
          <w:rFonts w:ascii="Times New Roman" w:eastAsia="Noto Sans CJK SC Regular" w:hAnsi="Times New Roman" w:cs="Lohit Devanagari"/>
          <w:kern w:val="2"/>
          <w:sz w:val="24"/>
          <w:szCs w:val="24"/>
          <w:lang w:eastAsia="zh-CN" w:bidi="hi-IN"/>
        </w:rPr>
        <w:t xml:space="preserve"> Solar Polska Sp. z o.o. ul. Emilii Plater 28, 00-688 Warszawa</w:t>
      </w:r>
      <w:r w:rsidRPr="009E1FA0">
        <w:rPr>
          <w:rFonts w:ascii="Times New Roman" w:hAnsi="Times New Roman" w:cs="Times New Roman"/>
          <w:sz w:val="24"/>
          <w:szCs w:val="24"/>
        </w:rPr>
        <w:t xml:space="preserve"> z dnia</w:t>
      </w:r>
      <w:r w:rsidR="009E1FA0" w:rsidRPr="009E1FA0">
        <w:rPr>
          <w:rFonts w:ascii="Times New Roman" w:hAnsi="Times New Roman" w:cs="Times New Roman"/>
          <w:sz w:val="24"/>
          <w:szCs w:val="24"/>
        </w:rPr>
        <w:t xml:space="preserve"> 26</w:t>
      </w:r>
      <w:r w:rsidRPr="009E1FA0">
        <w:rPr>
          <w:rFonts w:ascii="Times New Roman" w:hAnsi="Times New Roman" w:cs="Times New Roman"/>
          <w:sz w:val="24"/>
          <w:szCs w:val="24"/>
        </w:rPr>
        <w:t xml:space="preserve"> </w:t>
      </w:r>
      <w:r w:rsidR="009E1FA0" w:rsidRPr="009E1FA0">
        <w:rPr>
          <w:rFonts w:ascii="Times New Roman" w:hAnsi="Times New Roman" w:cs="Times New Roman"/>
          <w:sz w:val="24"/>
          <w:szCs w:val="24"/>
        </w:rPr>
        <w:t>września 2023 </w:t>
      </w:r>
      <w:r w:rsidRPr="009E1FA0">
        <w:rPr>
          <w:rFonts w:ascii="Times New Roman" w:hAnsi="Times New Roman" w:cs="Times New Roman"/>
          <w:sz w:val="24"/>
          <w:szCs w:val="24"/>
        </w:rPr>
        <w:t xml:space="preserve">r. (data wpływu: </w:t>
      </w:r>
      <w:r w:rsidR="009E1FA0" w:rsidRPr="009E1FA0">
        <w:rPr>
          <w:rFonts w:ascii="Times New Roman" w:hAnsi="Times New Roman" w:cs="Times New Roman"/>
          <w:sz w:val="24"/>
          <w:szCs w:val="24"/>
        </w:rPr>
        <w:t>27.09</w:t>
      </w:r>
      <w:r w:rsidRPr="009E1FA0">
        <w:rPr>
          <w:rFonts w:ascii="Times New Roman" w:hAnsi="Times New Roman" w:cs="Times New Roman"/>
          <w:sz w:val="24"/>
          <w:szCs w:val="24"/>
        </w:rPr>
        <w:t>.2023 r.)</w:t>
      </w:r>
      <w:r w:rsidRPr="009E1FA0">
        <w:rPr>
          <w:rFonts w:ascii="Times New Roman" w:eastAsia="Noto Sans CJK SC Regular" w:hAnsi="Times New Roman" w:cs="Lohit Devanagari"/>
          <w:kern w:val="2"/>
          <w:sz w:val="24"/>
          <w:szCs w:val="24"/>
          <w:lang w:eastAsia="zh-CN" w:bidi="hi-IN"/>
        </w:rPr>
        <w:t xml:space="preserve"> w sprawie wydania decyzji o środowiskowych uwarunkowaniach dla przedsięwzięcia </w:t>
      </w:r>
      <w:r w:rsidRPr="009E1FA0">
        <w:rPr>
          <w:rFonts w:ascii="Times New Roman" w:hAnsi="Times New Roman" w:cs="Times New Roman"/>
          <w:sz w:val="24"/>
        </w:rPr>
        <w:t>polegającego na:</w:t>
      </w:r>
      <w:r w:rsidRPr="00A42079">
        <w:rPr>
          <w:rFonts w:ascii="Times New Roman" w:hAnsi="Times New Roman" w:cs="Times New Roman"/>
          <w:color w:val="FF0000"/>
          <w:sz w:val="24"/>
        </w:rPr>
        <w:t xml:space="preserve"> </w:t>
      </w:r>
      <w:r w:rsidRPr="009E1FA0">
        <w:rPr>
          <w:rFonts w:ascii="Times New Roman" w:hAnsi="Times New Roman" w:cs="Times New Roman"/>
          <w:b/>
          <w:bCs/>
          <w:sz w:val="24"/>
          <w:szCs w:val="20"/>
        </w:rPr>
        <w:t>„Budowie</w:t>
      </w:r>
      <w:r w:rsidR="009E1FA0" w:rsidRPr="009E1FA0">
        <w:rPr>
          <w:rFonts w:ascii="Times New Roman" w:hAnsi="Times New Roman" w:cs="Times New Roman"/>
          <w:b/>
          <w:bCs/>
          <w:sz w:val="24"/>
          <w:szCs w:val="20"/>
        </w:rPr>
        <w:t xml:space="preserve"> elektrowni słonecznej „Drągowina</w:t>
      </w:r>
      <w:r w:rsidRPr="009E1FA0">
        <w:rPr>
          <w:rFonts w:ascii="Times New Roman" w:hAnsi="Times New Roman" w:cs="Times New Roman"/>
          <w:b/>
          <w:bCs/>
          <w:sz w:val="24"/>
          <w:szCs w:val="20"/>
        </w:rPr>
        <w:t>”</w:t>
      </w:r>
      <w:r w:rsidR="009E1FA0" w:rsidRPr="009E1FA0">
        <w:rPr>
          <w:rFonts w:ascii="Times New Roman" w:hAnsi="Times New Roman" w:cs="Times New Roman"/>
          <w:b/>
          <w:bCs/>
          <w:sz w:val="24"/>
          <w:szCs w:val="20"/>
        </w:rPr>
        <w:t xml:space="preserve"> o mocy do 8 MW wraz z infrastrukturą towarzyszącą Gmina Nowogród Bobrzański”</w:t>
      </w:r>
    </w:p>
    <w:p w14:paraId="71194100" w14:textId="77777777" w:rsidR="00A42079" w:rsidRPr="00A42079" w:rsidRDefault="00A42079" w:rsidP="00A42079">
      <w:pPr>
        <w:spacing w:after="0"/>
        <w:jc w:val="both"/>
        <w:rPr>
          <w:rFonts w:ascii="Times New Roman" w:hAnsi="Times New Roman" w:cs="Times New Roman"/>
          <w:b/>
          <w:bCs/>
          <w:color w:val="FF0000"/>
          <w:sz w:val="20"/>
          <w:szCs w:val="20"/>
        </w:rPr>
      </w:pPr>
    </w:p>
    <w:p w14:paraId="70DF9C86" w14:textId="77777777" w:rsidR="00A42079" w:rsidRPr="009E1FA0" w:rsidRDefault="00A42079" w:rsidP="00A42079">
      <w:pPr>
        <w:spacing w:after="0"/>
        <w:jc w:val="center"/>
        <w:rPr>
          <w:rFonts w:ascii="Times New Roman" w:eastAsia="Noto Sans CJK SC Regular" w:hAnsi="Times New Roman" w:cs="Lohit Devanagari"/>
          <w:b/>
          <w:kern w:val="2"/>
          <w:sz w:val="24"/>
          <w:szCs w:val="24"/>
          <w:lang w:eastAsia="zh-CN" w:bidi="hi-IN"/>
        </w:rPr>
      </w:pPr>
      <w:r w:rsidRPr="009E1FA0">
        <w:rPr>
          <w:rFonts w:ascii="Times New Roman" w:eastAsia="Noto Sans CJK SC Regular" w:hAnsi="Times New Roman" w:cs="Lohit Devanagari"/>
          <w:b/>
          <w:kern w:val="2"/>
          <w:sz w:val="24"/>
          <w:szCs w:val="24"/>
          <w:lang w:eastAsia="zh-CN" w:bidi="hi-IN"/>
        </w:rPr>
        <w:t>ORZEKAM</w:t>
      </w:r>
    </w:p>
    <w:p w14:paraId="4D84C6E0" w14:textId="77777777" w:rsidR="00A42079" w:rsidRPr="00A42079" w:rsidRDefault="00A42079" w:rsidP="00A42079">
      <w:pPr>
        <w:spacing w:after="0"/>
        <w:jc w:val="center"/>
        <w:rPr>
          <w:rFonts w:ascii="Times New Roman" w:eastAsia="Noto Sans CJK SC Regular" w:hAnsi="Times New Roman" w:cs="Lohit Devanagari"/>
          <w:b/>
          <w:color w:val="FF0000"/>
          <w:kern w:val="2"/>
          <w:sz w:val="24"/>
          <w:szCs w:val="24"/>
          <w:lang w:eastAsia="zh-CN" w:bidi="hi-IN"/>
        </w:rPr>
      </w:pPr>
    </w:p>
    <w:p w14:paraId="79CE6580" w14:textId="05007BED" w:rsidR="00A42079" w:rsidRPr="00A42079" w:rsidRDefault="00A42079" w:rsidP="00A42079">
      <w:pPr>
        <w:pStyle w:val="Akapitzlist"/>
        <w:numPr>
          <w:ilvl w:val="0"/>
          <w:numId w:val="1"/>
        </w:numPr>
        <w:suppressAutoHyphens/>
        <w:spacing w:after="0" w:line="240" w:lineRule="auto"/>
        <w:jc w:val="both"/>
        <w:rPr>
          <w:rFonts w:ascii="Times New Roman" w:eastAsia="Noto Sans CJK SC Regular" w:hAnsi="Times New Roman" w:cs="Lohit Devanagari"/>
          <w:color w:val="FF0000"/>
          <w:kern w:val="2"/>
          <w:sz w:val="24"/>
          <w:szCs w:val="24"/>
          <w:lang w:eastAsia="zh-CN" w:bidi="hi-IN"/>
        </w:rPr>
      </w:pPr>
      <w:r w:rsidRPr="009E1FA0">
        <w:rPr>
          <w:rFonts w:ascii="Times New Roman" w:eastAsia="Noto Sans CJK SC Regular" w:hAnsi="Times New Roman" w:cs="Lohit Devanagari"/>
          <w:b/>
          <w:bCs/>
          <w:kern w:val="2"/>
          <w:sz w:val="24"/>
          <w:szCs w:val="24"/>
          <w:lang w:eastAsia="zh-CN" w:bidi="hi-IN"/>
        </w:rPr>
        <w:t xml:space="preserve">Stwierdzić brak potrzeby przeprowadzania oceny oddziaływania na środowisko dla przedsięwzięcia polegającego na: </w:t>
      </w:r>
      <w:r w:rsidR="009E1FA0">
        <w:rPr>
          <w:rFonts w:ascii="Times New Roman" w:eastAsia="Noto Sans CJK SC Regular" w:hAnsi="Times New Roman" w:cs="Lohit Devanagari"/>
          <w:b/>
          <w:bCs/>
          <w:kern w:val="2"/>
          <w:sz w:val="24"/>
          <w:szCs w:val="24"/>
          <w:lang w:eastAsia="zh-CN" w:bidi="hi-IN"/>
        </w:rPr>
        <w:t>„Budowie elektrowni słonecznej „Drągowina” o mocy do 8 MW wraz z infrastrukturą towarzyszącą Gmina Nowogród Bobrzański”.</w:t>
      </w:r>
    </w:p>
    <w:p w14:paraId="7E18CF70" w14:textId="77777777" w:rsidR="00A42079" w:rsidRPr="009E1FA0" w:rsidRDefault="00A42079" w:rsidP="00A42079">
      <w:pPr>
        <w:pStyle w:val="Akapitzlist"/>
        <w:numPr>
          <w:ilvl w:val="0"/>
          <w:numId w:val="1"/>
        </w:numPr>
        <w:suppressAutoHyphens/>
        <w:spacing w:after="0" w:line="240" w:lineRule="auto"/>
        <w:jc w:val="both"/>
        <w:rPr>
          <w:rFonts w:ascii="Times New Roman" w:eastAsia="Noto Sans CJK SC Regular" w:hAnsi="Times New Roman" w:cs="Lohit Devanagari"/>
          <w:kern w:val="2"/>
          <w:sz w:val="24"/>
          <w:szCs w:val="24"/>
          <w:lang w:eastAsia="zh-CN" w:bidi="hi-IN"/>
        </w:rPr>
      </w:pPr>
      <w:r w:rsidRPr="009E1FA0">
        <w:rPr>
          <w:rFonts w:ascii="Times New Roman" w:eastAsia="Noto Sans CJK SC Regular" w:hAnsi="Times New Roman" w:cs="Lohit Devanagari"/>
          <w:b/>
          <w:bCs/>
          <w:kern w:val="2"/>
          <w:sz w:val="24"/>
          <w:szCs w:val="24"/>
          <w:lang w:eastAsia="zh-CN" w:bidi="hi-IN"/>
        </w:rPr>
        <w:t>Określam następujące wymagania :</w:t>
      </w:r>
    </w:p>
    <w:p w14:paraId="18DB0A47" w14:textId="7E9EE6B8" w:rsidR="00A42079" w:rsidRPr="009E1FA0" w:rsidRDefault="00A42079" w:rsidP="00A42079">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sidRPr="009E1FA0">
        <w:rPr>
          <w:rFonts w:ascii="Times New Roman" w:eastAsia="Noto Sans CJK SC Regular" w:hAnsi="Times New Roman" w:cs="Mangal"/>
          <w:bCs/>
          <w:kern w:val="2"/>
          <w:sz w:val="24"/>
          <w:szCs w:val="21"/>
          <w:lang w:eastAsia="zh-CN" w:bidi="hi-IN"/>
        </w:rPr>
        <w:t>Sprzęt pracujący na terenie placu budowy powinien być sprawny oraz parkowany na terenie utwardzonym, zabezpieczonym warstwą nieprzepuszczalną. Teren budowy należy wyposażyć w sorbenty do likwidacji ewentualnych rozlewów paliwa bądź innych płynów eksploatacyjnych.</w:t>
      </w:r>
    </w:p>
    <w:p w14:paraId="1DA9F1C5" w14:textId="692C34E0" w:rsidR="00A42079" w:rsidRDefault="00A42079" w:rsidP="00A42079">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sidRPr="009E1FA0">
        <w:rPr>
          <w:rFonts w:ascii="Times New Roman" w:eastAsia="Noto Sans CJK SC Regular" w:hAnsi="Times New Roman" w:cs="Mangal"/>
          <w:bCs/>
          <w:kern w:val="2"/>
          <w:sz w:val="24"/>
          <w:szCs w:val="21"/>
          <w:lang w:eastAsia="zh-CN" w:bidi="hi-IN"/>
        </w:rPr>
        <w:t>W przypadku stwierdzenia wycieków płynó</w:t>
      </w:r>
      <w:r w:rsidR="009E1FA0" w:rsidRPr="009E1FA0">
        <w:rPr>
          <w:rFonts w:ascii="Times New Roman" w:eastAsia="Noto Sans CJK SC Regular" w:hAnsi="Times New Roman" w:cs="Mangal"/>
          <w:bCs/>
          <w:kern w:val="2"/>
          <w:sz w:val="24"/>
          <w:szCs w:val="21"/>
          <w:lang w:eastAsia="zh-CN" w:bidi="hi-IN"/>
        </w:rPr>
        <w:t>w eksploatacyjnych powstałych w</w:t>
      </w:r>
      <w:r w:rsidRPr="009E1FA0">
        <w:rPr>
          <w:rFonts w:ascii="Times New Roman" w:eastAsia="Noto Sans CJK SC Regular" w:hAnsi="Times New Roman" w:cs="Mangal"/>
          <w:bCs/>
          <w:kern w:val="2"/>
          <w:sz w:val="24"/>
          <w:szCs w:val="21"/>
          <w:lang w:eastAsia="zh-CN" w:bidi="hi-IN"/>
        </w:rPr>
        <w:t>skutek awarii sprzętu odcieki te należy gromadzić w szczelnych pojemnikach ustawionych pod maszynami. Zanieczyszczenie należy zneutralizować za pomocą odpowiedniego sorbentu, a następnie przekazać do unieszkodliwienia podmiotowi posiadającemu stosowne zezwolenia z zakresu gospodarowania odpadami.</w:t>
      </w:r>
    </w:p>
    <w:p w14:paraId="6381E4E8" w14:textId="58BD73AA" w:rsidR="009E1FA0" w:rsidRPr="009E1FA0" w:rsidRDefault="009E1FA0" w:rsidP="009E1FA0">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sidRPr="009E1FA0">
        <w:rPr>
          <w:rFonts w:ascii="Times New Roman" w:eastAsia="Noto Sans CJK SC Regular" w:hAnsi="Times New Roman" w:cs="Mangal"/>
          <w:bCs/>
          <w:kern w:val="2"/>
          <w:sz w:val="24"/>
          <w:szCs w:val="21"/>
          <w:lang w:eastAsia="zh-CN" w:bidi="hi-IN"/>
        </w:rPr>
        <w:t>W przypadku stwierdzenia awarii prace z użyciem uszkodzonego sprzętu należy przerwać, a urządzenie to do czasu odtransportowania do miejsca serwisowania należy umieścić na utwardzonej powierzchni.</w:t>
      </w:r>
    </w:p>
    <w:p w14:paraId="4717023B" w14:textId="770B1F9D" w:rsidR="009E1FA0" w:rsidRPr="009E1FA0" w:rsidRDefault="009E1FA0" w:rsidP="009E1FA0">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sidRPr="009E1FA0">
        <w:rPr>
          <w:rFonts w:ascii="Times New Roman" w:eastAsia="Noto Sans CJK SC Regular" w:hAnsi="Times New Roman" w:cs="Mangal"/>
          <w:bCs/>
          <w:kern w:val="2"/>
          <w:sz w:val="24"/>
          <w:szCs w:val="21"/>
          <w:lang w:eastAsia="zh-CN" w:bidi="hi-IN"/>
        </w:rPr>
        <w:t>Naprawy oraz konserwacje maszyn i urządzeń prowadzić poza terenem przedsięwzięcia.</w:t>
      </w:r>
    </w:p>
    <w:p w14:paraId="6B4B010E" w14:textId="77777777" w:rsidR="00426A16" w:rsidRPr="00426A16" w:rsidRDefault="00426A16" w:rsidP="00426A16">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sidRPr="00426A16">
        <w:rPr>
          <w:rFonts w:ascii="Times New Roman" w:eastAsia="Noto Sans CJK SC Regular" w:hAnsi="Times New Roman" w:cs="Mangal"/>
          <w:bCs/>
          <w:kern w:val="2"/>
          <w:sz w:val="24"/>
          <w:szCs w:val="21"/>
          <w:lang w:eastAsia="zh-CN" w:bidi="hi-IN"/>
        </w:rPr>
        <w:t xml:space="preserve">Odpady należy magazynować selektywnie w zamykanych, szczelnych i oznakowanych pojemnikach, ustawionych w wyznaczonym miejscu o utwardzonym podłożu, zabezpieczonym przed wpływem warunków </w:t>
      </w:r>
      <w:r w:rsidRPr="00426A16">
        <w:rPr>
          <w:rFonts w:ascii="Times New Roman" w:eastAsia="Noto Sans CJK SC Regular" w:hAnsi="Times New Roman" w:cs="Mangal"/>
          <w:bCs/>
          <w:kern w:val="2"/>
          <w:sz w:val="24"/>
          <w:szCs w:val="21"/>
          <w:lang w:eastAsia="zh-CN" w:bidi="hi-IN"/>
        </w:rPr>
        <w:lastRenderedPageBreak/>
        <w:t>atmosferycznych, a następnie przekazywać uprawnionym podmiotom do dalszego zagospodarowania.</w:t>
      </w:r>
    </w:p>
    <w:p w14:paraId="3B10DAF8" w14:textId="0A0F028E" w:rsidR="00426A16" w:rsidRPr="00426A16" w:rsidRDefault="00426A16" w:rsidP="00426A16">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sidRPr="00426A16">
        <w:rPr>
          <w:rFonts w:ascii="Times New Roman" w:eastAsia="Noto Sans CJK SC Regular" w:hAnsi="Times New Roman" w:cs="Mangal"/>
          <w:bCs/>
          <w:kern w:val="2"/>
          <w:sz w:val="24"/>
          <w:szCs w:val="21"/>
          <w:lang w:eastAsia="zh-CN" w:bidi="hi-IN"/>
        </w:rPr>
        <w:t>Odpady niebezpieczne należy magazyno</w:t>
      </w:r>
      <w:r>
        <w:rPr>
          <w:rFonts w:ascii="Times New Roman" w:eastAsia="Noto Sans CJK SC Regular" w:hAnsi="Times New Roman" w:cs="Mangal"/>
          <w:bCs/>
          <w:kern w:val="2"/>
          <w:sz w:val="24"/>
          <w:szCs w:val="21"/>
          <w:lang w:eastAsia="zh-CN" w:bidi="hi-IN"/>
        </w:rPr>
        <w:t>wać w zamkniętych, szczelnych i </w:t>
      </w:r>
      <w:r w:rsidRPr="00426A16">
        <w:rPr>
          <w:rFonts w:ascii="Times New Roman" w:eastAsia="Noto Sans CJK SC Regular" w:hAnsi="Times New Roman" w:cs="Mangal"/>
          <w:bCs/>
          <w:kern w:val="2"/>
          <w:sz w:val="24"/>
          <w:szCs w:val="21"/>
          <w:lang w:eastAsia="zh-CN" w:bidi="hi-IN"/>
        </w:rPr>
        <w:t>oznakowanych pojemnikach lub kontenerach, odpornych na działanie składników umieszczonych w nich odpadów zlokaliz</w:t>
      </w:r>
      <w:r>
        <w:rPr>
          <w:rFonts w:ascii="Times New Roman" w:eastAsia="Noto Sans CJK SC Regular" w:hAnsi="Times New Roman" w:cs="Mangal"/>
          <w:bCs/>
          <w:kern w:val="2"/>
          <w:sz w:val="24"/>
          <w:szCs w:val="21"/>
          <w:lang w:eastAsia="zh-CN" w:bidi="hi-IN"/>
        </w:rPr>
        <w:t>owanych w wyznaczonym miejscu o </w:t>
      </w:r>
      <w:r w:rsidRPr="00426A16">
        <w:rPr>
          <w:rFonts w:ascii="Times New Roman" w:eastAsia="Noto Sans CJK SC Regular" w:hAnsi="Times New Roman" w:cs="Mangal"/>
          <w:bCs/>
          <w:kern w:val="2"/>
          <w:sz w:val="24"/>
          <w:szCs w:val="21"/>
          <w:lang w:eastAsia="zh-CN" w:bidi="hi-IN"/>
        </w:rPr>
        <w:t>utwardzonym podłożu, zabezpieczonym przed wpływem warunków atmosferycznych i przed dostępem osób nieupoważnionych, a następnie przekazywać uprawnionym odbiorcom.</w:t>
      </w:r>
    </w:p>
    <w:p w14:paraId="5FF56072" w14:textId="75842762" w:rsidR="009E1FA0" w:rsidRPr="009E1FA0" w:rsidRDefault="00426A16" w:rsidP="00A42079">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Pr>
          <w:rFonts w:ascii="Times New Roman" w:eastAsia="Noto Sans CJK SC Regular" w:hAnsi="Times New Roman" w:cs="Mangal"/>
          <w:bCs/>
          <w:kern w:val="2"/>
          <w:sz w:val="24"/>
          <w:szCs w:val="21"/>
          <w:lang w:eastAsia="zh-CN" w:bidi="hi-IN"/>
        </w:rPr>
        <w:t>W przypadku kolizji elementów planowanej instalacji z ciekami wodnymi/ urządzeniami melioracji wodnych, prace ziemne należy prowadzić z zachowaniem szczególnej staranności. Panele fotowoltaiczne należy posadowić w odpowiedniej odległości od ww. urządzeń tak by planowane przedsięwzięcie nie spowodowało uszkodzenia istniejących urządzeń oraz nie przyczyniło się do pogorszenia stosunków wodnych na gruntach sąsiednich. W przypadku uszkodzenia urządzeń wodnych inwestor zobowiązany jest  do naprawy powstałych uszkodzeń, w sposób zapewniający zachowanie ich dotychczasowej funkcji. Ponadto planowana inwestycja powinna być uzgodniona przed rozpoczęciem jej realizacji oraz wykonana zgodnie z wytycznymi i wymaganiami narzuconymi przez właściciela lub zarządcę cieku wodnego/ urządzeń wodnych zlokalizowanych w obrębie terenu inwestycji.</w:t>
      </w:r>
    </w:p>
    <w:p w14:paraId="134B94ED" w14:textId="77777777" w:rsidR="00A42079" w:rsidRPr="00426A16" w:rsidRDefault="00A42079" w:rsidP="00A42079">
      <w:pPr>
        <w:numPr>
          <w:ilvl w:val="0"/>
          <w:numId w:val="2"/>
        </w:numPr>
        <w:spacing w:after="0" w:line="240" w:lineRule="auto"/>
        <w:contextualSpacing/>
        <w:jc w:val="both"/>
        <w:rPr>
          <w:rFonts w:ascii="Times New Roman" w:eastAsia="Noto Sans CJK SC Regular" w:hAnsi="Times New Roman" w:cs="Mangal"/>
          <w:bCs/>
          <w:kern w:val="2"/>
          <w:sz w:val="24"/>
          <w:szCs w:val="21"/>
          <w:lang w:eastAsia="zh-CN" w:bidi="hi-IN"/>
        </w:rPr>
      </w:pPr>
      <w:r w:rsidRPr="00426A16">
        <w:rPr>
          <w:rFonts w:ascii="Times New Roman" w:eastAsia="Noto Sans CJK SC Regular" w:hAnsi="Times New Roman" w:cs="Mangal"/>
          <w:bCs/>
          <w:kern w:val="2"/>
          <w:sz w:val="24"/>
          <w:szCs w:val="21"/>
          <w:lang w:eastAsia="zh-CN" w:bidi="hi-IN"/>
        </w:rPr>
        <w:t>W przypadku odkrycia podczas prac budowlanych na terenie przedsięwzięcia sieci drenarskiej, fakt ten należy zgłosić do spółki wodnej działającej na terenie gminy lub do związku spółek wodnych. W przypadku uszkodzenia działającego drenażu koniecznym będzie wykonanie przebudowy istniejącego systemu drenarskiego w sposób umożliwiający jego dalsze działanie. Prace należy prowadzić pod nadzorem inspektora z odpowiednimi uprawnieniami.</w:t>
      </w:r>
    </w:p>
    <w:p w14:paraId="559CF414" w14:textId="77777777" w:rsidR="00A42079" w:rsidRPr="00A42079" w:rsidRDefault="00A42079" w:rsidP="00A42079">
      <w:pPr>
        <w:spacing w:after="0" w:line="240" w:lineRule="auto"/>
        <w:ind w:left="1080"/>
        <w:contextualSpacing/>
        <w:jc w:val="both"/>
        <w:rPr>
          <w:rFonts w:ascii="Times New Roman" w:eastAsia="Noto Sans CJK SC Regular" w:hAnsi="Times New Roman" w:cs="Mangal"/>
          <w:color w:val="FF0000"/>
          <w:kern w:val="2"/>
          <w:sz w:val="24"/>
          <w:szCs w:val="21"/>
          <w:lang w:eastAsia="zh-CN" w:bidi="hi-IN"/>
        </w:rPr>
      </w:pPr>
    </w:p>
    <w:p w14:paraId="014C9503" w14:textId="77777777" w:rsidR="00A42079" w:rsidRPr="00491CBA" w:rsidRDefault="00A42079" w:rsidP="00A42079">
      <w:pPr>
        <w:numPr>
          <w:ilvl w:val="0"/>
          <w:numId w:val="1"/>
        </w:numPr>
        <w:spacing w:after="0" w:line="240" w:lineRule="auto"/>
        <w:jc w:val="both"/>
        <w:rPr>
          <w:rFonts w:ascii="Liberation Serif" w:eastAsia="Noto Sans CJK SC Regular" w:hAnsi="Liberation Serif" w:cs="Lohit Devanagari"/>
          <w:kern w:val="2"/>
          <w:sz w:val="24"/>
          <w:szCs w:val="24"/>
          <w:lang w:eastAsia="zh-CN" w:bidi="hi-IN"/>
        </w:rPr>
      </w:pPr>
      <w:r w:rsidRPr="00491CBA">
        <w:rPr>
          <w:rFonts w:ascii="Times New Roman" w:eastAsia="Noto Sans CJK SC Regular" w:hAnsi="Times New Roman" w:cs="Lohit Devanagari"/>
          <w:b/>
          <w:bCs/>
          <w:kern w:val="2"/>
          <w:sz w:val="24"/>
          <w:szCs w:val="24"/>
          <w:lang w:eastAsia="zh-CN" w:bidi="hi-IN"/>
        </w:rPr>
        <w:t>Charakterystyka przedsięwzięcia stanowi integralną część niniejszej decyzji.</w:t>
      </w:r>
    </w:p>
    <w:p w14:paraId="71FD3D39" w14:textId="77777777" w:rsidR="00A42079" w:rsidRPr="00A42079" w:rsidRDefault="00A42079" w:rsidP="00A42079">
      <w:pPr>
        <w:spacing w:after="0" w:line="240" w:lineRule="auto"/>
        <w:rPr>
          <w:rFonts w:ascii="Liberation Serif" w:eastAsia="Noto Sans CJK SC Regular" w:hAnsi="Liberation Serif" w:cs="Lohit Devanagari"/>
          <w:color w:val="FF0000"/>
          <w:kern w:val="2"/>
          <w:sz w:val="24"/>
          <w:szCs w:val="24"/>
          <w:lang w:eastAsia="zh-CN" w:bidi="hi-IN"/>
        </w:rPr>
      </w:pPr>
    </w:p>
    <w:p w14:paraId="1B22A933" w14:textId="77777777" w:rsidR="00A42079" w:rsidRPr="00A42079" w:rsidRDefault="00A42079" w:rsidP="00A42079">
      <w:pPr>
        <w:spacing w:after="0" w:line="240" w:lineRule="auto"/>
        <w:rPr>
          <w:rFonts w:ascii="Liberation Serif" w:eastAsia="Noto Sans CJK SC Regular" w:hAnsi="Liberation Serif" w:cs="Lohit Devanagari"/>
          <w:color w:val="FF0000"/>
          <w:kern w:val="2"/>
          <w:sz w:val="24"/>
          <w:szCs w:val="24"/>
          <w:lang w:eastAsia="zh-CN" w:bidi="hi-IN"/>
        </w:rPr>
      </w:pPr>
    </w:p>
    <w:p w14:paraId="1BC1C15A" w14:textId="77777777" w:rsidR="00A42079" w:rsidRPr="00426A16" w:rsidRDefault="00A42079" w:rsidP="00A42079">
      <w:pPr>
        <w:spacing w:after="0" w:line="240" w:lineRule="auto"/>
        <w:jc w:val="center"/>
        <w:rPr>
          <w:rFonts w:ascii="Times New Roman" w:eastAsia="Noto Sans CJK SC Regular" w:hAnsi="Times New Roman" w:cs="Lohit Devanagari"/>
          <w:b/>
          <w:bCs/>
          <w:kern w:val="2"/>
          <w:sz w:val="24"/>
          <w:szCs w:val="24"/>
          <w:lang w:eastAsia="zh-CN" w:bidi="hi-IN"/>
        </w:rPr>
      </w:pPr>
      <w:r w:rsidRPr="00426A16">
        <w:rPr>
          <w:rFonts w:ascii="Times New Roman" w:eastAsia="Noto Sans CJK SC Regular" w:hAnsi="Times New Roman" w:cs="Lohit Devanagari"/>
          <w:b/>
          <w:bCs/>
          <w:kern w:val="2"/>
          <w:sz w:val="24"/>
          <w:szCs w:val="24"/>
          <w:lang w:eastAsia="zh-CN" w:bidi="hi-IN"/>
        </w:rPr>
        <w:t>UZASADNIENIE</w:t>
      </w:r>
    </w:p>
    <w:p w14:paraId="73235988" w14:textId="77777777" w:rsidR="00A42079" w:rsidRPr="00A42079" w:rsidRDefault="00A42079" w:rsidP="00A42079">
      <w:pPr>
        <w:spacing w:after="0" w:line="240" w:lineRule="auto"/>
        <w:jc w:val="center"/>
        <w:rPr>
          <w:rFonts w:ascii="Times New Roman" w:eastAsia="Noto Sans CJK SC Regular" w:hAnsi="Times New Roman" w:cs="Lohit Devanagari"/>
          <w:b/>
          <w:bCs/>
          <w:color w:val="FF0000"/>
          <w:kern w:val="2"/>
          <w:sz w:val="24"/>
          <w:szCs w:val="24"/>
          <w:lang w:eastAsia="zh-CN" w:bidi="hi-IN"/>
        </w:rPr>
      </w:pPr>
    </w:p>
    <w:p w14:paraId="3784B23A" w14:textId="78B61F8D" w:rsidR="00A628DA" w:rsidRPr="00A42079" w:rsidRDefault="00A42079" w:rsidP="00A628DA">
      <w:pPr>
        <w:spacing w:after="0"/>
        <w:jc w:val="both"/>
        <w:rPr>
          <w:rFonts w:ascii="Times New Roman" w:hAnsi="Times New Roman" w:cs="Times New Roman"/>
          <w:b/>
          <w:bCs/>
          <w:color w:val="FF0000"/>
          <w:sz w:val="20"/>
          <w:szCs w:val="20"/>
        </w:rPr>
      </w:pPr>
      <w:r w:rsidRPr="00A42079">
        <w:rPr>
          <w:rFonts w:ascii="Times New Roman" w:eastAsia="Noto Sans CJK SC Regular" w:hAnsi="Times New Roman" w:cs="Lohit Devanagari"/>
          <w:color w:val="FF0000"/>
          <w:kern w:val="2"/>
          <w:sz w:val="24"/>
          <w:szCs w:val="24"/>
          <w:lang w:eastAsia="zh-CN" w:bidi="hi-IN"/>
        </w:rPr>
        <w:tab/>
      </w:r>
      <w:r w:rsidRPr="00A628DA">
        <w:rPr>
          <w:rFonts w:ascii="Times New Roman" w:eastAsia="Noto Sans CJK SC Regular" w:hAnsi="Times New Roman" w:cs="Lohit Devanagari"/>
          <w:kern w:val="2"/>
          <w:sz w:val="24"/>
          <w:szCs w:val="24"/>
          <w:lang w:eastAsia="zh-CN" w:bidi="hi-IN"/>
        </w:rPr>
        <w:t xml:space="preserve">W dniu </w:t>
      </w:r>
      <w:r w:rsidR="00A628DA" w:rsidRPr="00A628DA">
        <w:rPr>
          <w:rFonts w:ascii="Times New Roman" w:hAnsi="Times New Roman" w:cs="Times New Roman"/>
          <w:sz w:val="24"/>
          <w:szCs w:val="24"/>
        </w:rPr>
        <w:t>26</w:t>
      </w:r>
      <w:r w:rsidRPr="00A628DA">
        <w:rPr>
          <w:rFonts w:ascii="Times New Roman" w:hAnsi="Times New Roman" w:cs="Times New Roman"/>
          <w:sz w:val="24"/>
          <w:szCs w:val="24"/>
        </w:rPr>
        <w:t xml:space="preserve"> </w:t>
      </w:r>
      <w:r w:rsidR="00A628DA" w:rsidRPr="00A628DA">
        <w:rPr>
          <w:rFonts w:ascii="Times New Roman" w:hAnsi="Times New Roman" w:cs="Times New Roman"/>
          <w:sz w:val="24"/>
          <w:szCs w:val="24"/>
        </w:rPr>
        <w:t xml:space="preserve">września </w:t>
      </w:r>
      <w:r w:rsidRPr="00A628DA">
        <w:rPr>
          <w:rFonts w:ascii="Times New Roman" w:hAnsi="Times New Roman" w:cs="Times New Roman"/>
          <w:sz w:val="24"/>
          <w:szCs w:val="24"/>
        </w:rPr>
        <w:t>2023r. (data wpływu: 2</w:t>
      </w:r>
      <w:r w:rsidR="00A628DA" w:rsidRPr="00A628DA">
        <w:rPr>
          <w:rFonts w:ascii="Times New Roman" w:hAnsi="Times New Roman" w:cs="Times New Roman"/>
          <w:sz w:val="24"/>
          <w:szCs w:val="24"/>
        </w:rPr>
        <w:t>7</w:t>
      </w:r>
      <w:r w:rsidRPr="00A628DA">
        <w:rPr>
          <w:rFonts w:ascii="Times New Roman" w:hAnsi="Times New Roman" w:cs="Times New Roman"/>
          <w:sz w:val="24"/>
          <w:szCs w:val="24"/>
        </w:rPr>
        <w:t>.0</w:t>
      </w:r>
      <w:r w:rsidR="00A628DA" w:rsidRPr="00A628DA">
        <w:rPr>
          <w:rFonts w:ascii="Times New Roman" w:hAnsi="Times New Roman" w:cs="Times New Roman"/>
          <w:sz w:val="24"/>
          <w:szCs w:val="24"/>
        </w:rPr>
        <w:t>9</w:t>
      </w:r>
      <w:r w:rsidRPr="00A628DA">
        <w:rPr>
          <w:rFonts w:ascii="Times New Roman" w:hAnsi="Times New Roman" w:cs="Times New Roman"/>
          <w:sz w:val="24"/>
          <w:szCs w:val="24"/>
        </w:rPr>
        <w:t xml:space="preserve">.2023 r.) do Burmistrza Nowogrodu Bobrzańskiego wpłynął wniosek </w:t>
      </w:r>
      <w:r w:rsidR="00A628DA" w:rsidRPr="00A628DA">
        <w:rPr>
          <w:rFonts w:ascii="Times New Roman" w:eastAsia="Noto Sans CJK SC Regular" w:hAnsi="Times New Roman" w:cs="Lohit Devanagari"/>
          <w:kern w:val="2"/>
          <w:sz w:val="24"/>
          <w:szCs w:val="24"/>
          <w:lang w:eastAsia="zh-CN" w:bidi="hi-IN"/>
        </w:rPr>
        <w:t xml:space="preserve">Piotra Czajkowskiego występującego w imieniu i na rzecz </w:t>
      </w:r>
      <w:proofErr w:type="spellStart"/>
      <w:r w:rsidR="00A628DA" w:rsidRPr="00A628DA">
        <w:rPr>
          <w:rFonts w:ascii="Times New Roman" w:eastAsia="Noto Sans CJK SC Regular" w:hAnsi="Times New Roman" w:cs="Lohit Devanagari"/>
          <w:kern w:val="2"/>
          <w:sz w:val="24"/>
          <w:szCs w:val="24"/>
          <w:lang w:eastAsia="zh-CN" w:bidi="hi-IN"/>
        </w:rPr>
        <w:t>Axpo</w:t>
      </w:r>
      <w:proofErr w:type="spellEnd"/>
      <w:r w:rsidR="00A628DA" w:rsidRPr="00A628DA">
        <w:rPr>
          <w:rFonts w:ascii="Times New Roman" w:eastAsia="Noto Sans CJK SC Regular" w:hAnsi="Times New Roman" w:cs="Lohit Devanagari"/>
          <w:kern w:val="2"/>
          <w:sz w:val="24"/>
          <w:szCs w:val="24"/>
          <w:lang w:eastAsia="zh-CN" w:bidi="hi-IN"/>
        </w:rPr>
        <w:t xml:space="preserve"> Solar Polska Sp. z o.o. ul. Emilii Plater 28, 00-688 Warszawa</w:t>
      </w:r>
      <w:r w:rsidRPr="00A628DA">
        <w:rPr>
          <w:rFonts w:ascii="Times New Roman" w:eastAsia="Noto Sans CJK SC Regular" w:hAnsi="Times New Roman" w:cs="Lohit Devanagari"/>
          <w:kern w:val="2"/>
          <w:sz w:val="24"/>
          <w:szCs w:val="24"/>
          <w:lang w:eastAsia="zh-CN" w:bidi="hi-IN"/>
        </w:rPr>
        <w:t xml:space="preserve"> w sprawie wydania decyzji o środowiskowych uwarunkowaniach dla przedsięwzięcia </w:t>
      </w:r>
      <w:r w:rsidRPr="00A628DA">
        <w:rPr>
          <w:rFonts w:ascii="Times New Roman" w:hAnsi="Times New Roman" w:cs="Times New Roman"/>
          <w:sz w:val="24"/>
        </w:rPr>
        <w:t xml:space="preserve">polegającego na: </w:t>
      </w:r>
      <w:r w:rsidR="00A628DA" w:rsidRPr="00A628DA">
        <w:rPr>
          <w:rFonts w:ascii="Times New Roman" w:hAnsi="Times New Roman" w:cs="Times New Roman"/>
          <w:bCs/>
          <w:sz w:val="24"/>
          <w:szCs w:val="20"/>
        </w:rPr>
        <w:t>„Budowie elektrowni słonecznej „Drągowina” o mocy do 8 MW wraz z infrastrukturą towarzyszącą Gmina Nowogród Bobrzański”.</w:t>
      </w:r>
    </w:p>
    <w:p w14:paraId="4FBBE074" w14:textId="4FACE973" w:rsidR="00A42079" w:rsidRPr="00A42079" w:rsidRDefault="00A42079" w:rsidP="00A42079">
      <w:pPr>
        <w:spacing w:after="0" w:line="240" w:lineRule="auto"/>
        <w:jc w:val="both"/>
        <w:rPr>
          <w:rFonts w:ascii="Liberation Serif" w:eastAsia="Noto Sans CJK SC Regular" w:hAnsi="Liberation Serif"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A628DA">
        <w:rPr>
          <w:rFonts w:ascii="Times New Roman" w:eastAsia="Noto Sans CJK SC Regular" w:hAnsi="Times New Roman" w:cs="Lohit Devanagari"/>
          <w:kern w:val="2"/>
          <w:sz w:val="24"/>
          <w:szCs w:val="24"/>
          <w:lang w:eastAsia="zh-CN" w:bidi="hi-IN"/>
        </w:rPr>
        <w:t xml:space="preserve">Biorąc pod uwagę rodzaj i lokalizację przedsięwzięcia, organem właściwym do wydania decyzji w niniejszej sprawie, zgodnie z art. 75 ust. 1 pkt 4 ustawy z dnia 3 października 2008r. o udostępnianiu informacji o środowisku i jego ochronie, udziale społeczeństwa w ochronie środowiska oraz o ocenach oddziaływania na środowisko (Dz. U. z 2023 r., poz. 1094 z </w:t>
      </w:r>
      <w:proofErr w:type="spellStart"/>
      <w:r w:rsidRPr="00A628DA">
        <w:rPr>
          <w:rFonts w:ascii="Times New Roman" w:eastAsia="Noto Sans CJK SC Regular" w:hAnsi="Times New Roman" w:cs="Lohit Devanagari"/>
          <w:kern w:val="2"/>
          <w:sz w:val="24"/>
          <w:szCs w:val="24"/>
          <w:lang w:eastAsia="zh-CN" w:bidi="hi-IN"/>
        </w:rPr>
        <w:t>późn</w:t>
      </w:r>
      <w:proofErr w:type="spellEnd"/>
      <w:r w:rsidRPr="00A628DA">
        <w:rPr>
          <w:rFonts w:ascii="Times New Roman" w:eastAsia="Noto Sans CJK SC Regular" w:hAnsi="Times New Roman" w:cs="Lohit Devanagari"/>
          <w:kern w:val="2"/>
          <w:sz w:val="24"/>
          <w:szCs w:val="24"/>
          <w:lang w:eastAsia="zh-CN" w:bidi="hi-IN"/>
        </w:rPr>
        <w:t>. zm.) jest Burmistrz Nowogrodu Bobrzańskiego.</w:t>
      </w:r>
    </w:p>
    <w:p w14:paraId="759EAEC9" w14:textId="3746F2BF" w:rsidR="00A42079" w:rsidRPr="00A628DA" w:rsidRDefault="00A42079" w:rsidP="00A42079">
      <w:pPr>
        <w:spacing w:after="0" w:line="240" w:lineRule="auto"/>
        <w:jc w:val="both"/>
        <w:rPr>
          <w:rFonts w:ascii="Liberation Serif" w:eastAsia="Noto Sans CJK SC Regular" w:hAnsi="Liberation Serif" w:cs="Lohit Devanagari"/>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A628DA">
        <w:rPr>
          <w:rFonts w:ascii="Times New Roman" w:eastAsia="Noto Sans CJK SC Regular" w:hAnsi="Times New Roman" w:cs="Lohit Devanagari"/>
          <w:kern w:val="2"/>
          <w:sz w:val="24"/>
          <w:szCs w:val="24"/>
          <w:lang w:eastAsia="zh-CN" w:bidi="hi-IN"/>
        </w:rPr>
        <w:t xml:space="preserve">Organ po sprawdzeniu kompletności w/w wniosku wszczął postępowanie administracyjne w przedmiotowej sprawie, powiadamiając strony poprzez obwieszczenie z dnia </w:t>
      </w:r>
      <w:r w:rsidR="00A628DA" w:rsidRPr="00A628DA">
        <w:rPr>
          <w:rFonts w:ascii="Times New Roman" w:eastAsia="Noto Sans CJK SC Regular" w:hAnsi="Times New Roman" w:cs="Lohit Devanagari"/>
          <w:kern w:val="2"/>
          <w:sz w:val="24"/>
          <w:szCs w:val="24"/>
          <w:lang w:eastAsia="zh-CN" w:bidi="hi-IN"/>
        </w:rPr>
        <w:t>9</w:t>
      </w:r>
      <w:r w:rsidRPr="00A628DA">
        <w:rPr>
          <w:rFonts w:ascii="Times New Roman" w:eastAsia="Noto Sans CJK SC Regular" w:hAnsi="Times New Roman" w:cs="Lohit Devanagari"/>
          <w:kern w:val="2"/>
          <w:sz w:val="24"/>
          <w:szCs w:val="24"/>
          <w:lang w:eastAsia="zh-CN" w:bidi="hi-IN"/>
        </w:rPr>
        <w:t xml:space="preserve"> </w:t>
      </w:r>
      <w:r w:rsidR="00A628DA" w:rsidRPr="00A628DA">
        <w:rPr>
          <w:rFonts w:ascii="Times New Roman" w:eastAsia="Noto Sans CJK SC Regular" w:hAnsi="Times New Roman" w:cs="Lohit Devanagari"/>
          <w:kern w:val="2"/>
          <w:sz w:val="24"/>
          <w:szCs w:val="24"/>
          <w:lang w:eastAsia="zh-CN" w:bidi="hi-IN"/>
        </w:rPr>
        <w:t>października</w:t>
      </w:r>
      <w:r w:rsidRPr="00A628DA">
        <w:rPr>
          <w:rFonts w:ascii="Times New Roman" w:eastAsia="Noto Sans CJK SC Regular" w:hAnsi="Times New Roman" w:cs="Lohit Devanagari"/>
          <w:kern w:val="2"/>
          <w:sz w:val="24"/>
          <w:szCs w:val="24"/>
          <w:lang w:eastAsia="zh-CN" w:bidi="hi-IN"/>
        </w:rPr>
        <w:t xml:space="preserve"> 2023 r., znak: GKIII.6220.</w:t>
      </w:r>
      <w:r w:rsidR="00A628DA" w:rsidRPr="00A628DA">
        <w:rPr>
          <w:rFonts w:ascii="Times New Roman" w:eastAsia="Noto Sans CJK SC Regular" w:hAnsi="Times New Roman" w:cs="Lohit Devanagari"/>
          <w:kern w:val="2"/>
          <w:sz w:val="24"/>
          <w:szCs w:val="24"/>
          <w:lang w:eastAsia="zh-CN" w:bidi="hi-IN"/>
        </w:rPr>
        <w:t>5.</w:t>
      </w:r>
      <w:r w:rsidRPr="00A628DA">
        <w:rPr>
          <w:rFonts w:ascii="Times New Roman" w:eastAsia="Noto Sans CJK SC Regular" w:hAnsi="Times New Roman" w:cs="Lohit Devanagari"/>
          <w:kern w:val="2"/>
          <w:sz w:val="24"/>
          <w:szCs w:val="24"/>
          <w:lang w:eastAsia="zh-CN" w:bidi="hi-IN"/>
        </w:rPr>
        <w:t>2023.</w:t>
      </w:r>
      <w:r w:rsidR="00A628DA" w:rsidRPr="00A628DA">
        <w:rPr>
          <w:rFonts w:ascii="Times New Roman" w:eastAsia="Noto Sans CJK SC Regular" w:hAnsi="Times New Roman" w:cs="Lohit Devanagari"/>
          <w:kern w:val="2"/>
          <w:sz w:val="24"/>
          <w:szCs w:val="24"/>
          <w:lang w:eastAsia="zh-CN" w:bidi="hi-IN"/>
        </w:rPr>
        <w:t>MW</w:t>
      </w:r>
      <w:r w:rsidRPr="00A628DA">
        <w:rPr>
          <w:rFonts w:ascii="Times New Roman" w:eastAsia="Noto Sans CJK SC Regular" w:hAnsi="Times New Roman" w:cs="Lohit Devanagari"/>
          <w:kern w:val="2"/>
          <w:sz w:val="24"/>
          <w:szCs w:val="24"/>
          <w:lang w:eastAsia="zh-CN" w:bidi="hi-IN"/>
        </w:rPr>
        <w:t xml:space="preserve">. Informacja o toczącym się postępowaniu została umieszczona w </w:t>
      </w:r>
      <w:proofErr w:type="spellStart"/>
      <w:r w:rsidRPr="00A628DA">
        <w:rPr>
          <w:rFonts w:ascii="Times New Roman" w:eastAsia="Noto Sans CJK SC Regular" w:hAnsi="Times New Roman" w:cs="Lohit Devanagari"/>
          <w:kern w:val="2"/>
          <w:sz w:val="24"/>
          <w:szCs w:val="24"/>
          <w:lang w:eastAsia="zh-CN" w:bidi="hi-IN"/>
        </w:rPr>
        <w:t>Ekoportalu</w:t>
      </w:r>
      <w:proofErr w:type="spellEnd"/>
      <w:r w:rsidRPr="00A628DA">
        <w:rPr>
          <w:rFonts w:ascii="Times New Roman" w:eastAsia="Noto Sans CJK SC Regular" w:hAnsi="Times New Roman" w:cs="Lohit Devanagari"/>
          <w:kern w:val="2"/>
          <w:sz w:val="24"/>
          <w:szCs w:val="24"/>
          <w:lang w:eastAsia="zh-CN" w:bidi="hi-IN"/>
        </w:rPr>
        <w:t xml:space="preserve"> (nr karty </w:t>
      </w:r>
      <w:r w:rsidR="002B5947">
        <w:rPr>
          <w:rFonts w:ascii="Times New Roman" w:eastAsia="Noto Sans CJK SC Regular" w:hAnsi="Times New Roman" w:cs="Lohit Devanagari"/>
          <w:kern w:val="2"/>
          <w:sz w:val="24"/>
          <w:szCs w:val="24"/>
          <w:lang w:eastAsia="zh-CN" w:bidi="hi-IN"/>
        </w:rPr>
        <w:t>178</w:t>
      </w:r>
      <w:r w:rsidRPr="00A628DA">
        <w:rPr>
          <w:rFonts w:ascii="Times New Roman" w:eastAsia="Noto Sans CJK SC Regular" w:hAnsi="Times New Roman" w:cs="Lohit Devanagari"/>
          <w:kern w:val="2"/>
          <w:sz w:val="24"/>
          <w:szCs w:val="24"/>
          <w:lang w:eastAsia="zh-CN" w:bidi="hi-IN"/>
        </w:rPr>
        <w:t>/2023).</w:t>
      </w:r>
      <w:r w:rsidRPr="00A628DA">
        <w:rPr>
          <w:rFonts w:ascii="Liberation Serif" w:eastAsia="Noto Sans CJK SC Regular" w:hAnsi="Liberation Serif" w:cs="Lohit Devanagari"/>
          <w:kern w:val="2"/>
          <w:sz w:val="24"/>
          <w:szCs w:val="24"/>
          <w:lang w:eastAsia="zh-CN" w:bidi="hi-IN"/>
        </w:rPr>
        <w:t xml:space="preserve"> </w:t>
      </w:r>
    </w:p>
    <w:p w14:paraId="63A43D65" w14:textId="279E1808" w:rsidR="00A42079" w:rsidRPr="00A42079" w:rsidRDefault="00A42079" w:rsidP="00A42079">
      <w:pPr>
        <w:spacing w:after="0" w:line="240" w:lineRule="auto"/>
        <w:jc w:val="both"/>
        <w:rPr>
          <w:rFonts w:ascii="Liberation Serif" w:eastAsia="Noto Sans CJK SC Regular" w:hAnsi="Liberation Serif" w:cs="Lohit Devanagari"/>
          <w:color w:val="FF0000"/>
          <w:kern w:val="2"/>
          <w:sz w:val="24"/>
          <w:szCs w:val="24"/>
          <w:lang w:eastAsia="zh-CN" w:bidi="hi-IN"/>
        </w:rPr>
      </w:pPr>
      <w:r w:rsidRPr="00A42079">
        <w:rPr>
          <w:rFonts w:ascii="Liberation Serif" w:eastAsia="Noto Sans CJK SC Regular" w:hAnsi="Liberation Serif" w:cs="Lohit Devanagari"/>
          <w:color w:val="FF0000"/>
          <w:kern w:val="2"/>
          <w:sz w:val="24"/>
          <w:szCs w:val="24"/>
          <w:lang w:eastAsia="zh-CN" w:bidi="hi-IN"/>
        </w:rPr>
        <w:tab/>
      </w:r>
      <w:r w:rsidRPr="00A628DA">
        <w:rPr>
          <w:rFonts w:ascii="Liberation Serif" w:eastAsia="Noto Sans CJK SC Regular" w:hAnsi="Liberation Serif" w:cs="Lohit Devanagari"/>
          <w:kern w:val="2"/>
          <w:sz w:val="24"/>
          <w:szCs w:val="24"/>
          <w:lang w:eastAsia="zh-CN" w:bidi="hi-IN"/>
        </w:rPr>
        <w:t xml:space="preserve">Analizowana inwestycja, zgodnie z </w:t>
      </w:r>
      <w:r w:rsidRPr="00A628DA">
        <w:rPr>
          <w:rFonts w:ascii="Times New Roman" w:eastAsia="Noto Sans CJK SC Regular" w:hAnsi="Times New Roman" w:cs="Times New Roman"/>
          <w:kern w:val="2"/>
          <w:sz w:val="24"/>
          <w:szCs w:val="24"/>
          <w:lang w:eastAsia="zh-CN" w:bidi="hi-IN"/>
        </w:rPr>
        <w:t>§</w:t>
      </w:r>
      <w:r w:rsidRPr="00A628DA">
        <w:rPr>
          <w:rFonts w:ascii="Liberation Serif" w:eastAsia="Noto Sans CJK SC Regular" w:hAnsi="Liberation Serif" w:cs="Lohit Devanagari"/>
          <w:kern w:val="2"/>
          <w:sz w:val="24"/>
          <w:szCs w:val="24"/>
          <w:lang w:eastAsia="zh-CN" w:bidi="hi-IN"/>
        </w:rPr>
        <w:t>3 ust. 1 pkt 54</w:t>
      </w:r>
      <w:r w:rsidR="00A628DA" w:rsidRPr="00A628DA">
        <w:rPr>
          <w:rFonts w:ascii="Liberation Serif" w:eastAsia="Noto Sans CJK SC Regular" w:hAnsi="Liberation Serif" w:cs="Lohit Devanagari"/>
          <w:kern w:val="2"/>
          <w:sz w:val="24"/>
          <w:szCs w:val="24"/>
          <w:lang w:eastAsia="zh-CN" w:bidi="hi-IN"/>
        </w:rPr>
        <w:t>a</w:t>
      </w:r>
      <w:r w:rsidRPr="00A628DA">
        <w:rPr>
          <w:rFonts w:ascii="Liberation Serif" w:eastAsia="Noto Sans CJK SC Regular" w:hAnsi="Liberation Serif" w:cs="Lohit Devanagari"/>
          <w:kern w:val="2"/>
          <w:sz w:val="24"/>
          <w:szCs w:val="24"/>
          <w:lang w:eastAsia="zh-CN" w:bidi="hi-IN"/>
        </w:rPr>
        <w:t xml:space="preserve"> lit. b Rozporządzenia Rady Ministrów z dnia 10 września 2019 r. w sprawie przedsięwzięć mogących znacząco </w:t>
      </w:r>
      <w:r w:rsidRPr="00A628DA">
        <w:rPr>
          <w:rFonts w:ascii="Liberation Serif" w:eastAsia="Noto Sans CJK SC Regular" w:hAnsi="Liberation Serif" w:cs="Lohit Devanagari"/>
          <w:kern w:val="2"/>
          <w:sz w:val="24"/>
          <w:szCs w:val="24"/>
          <w:lang w:eastAsia="zh-CN" w:bidi="hi-IN"/>
        </w:rPr>
        <w:lastRenderedPageBreak/>
        <w:t xml:space="preserve">oddziaływać na środowisko (Dz. U. z 2019 r., poz. 1839 ze  zm.) jest przedsięwzięciem mogącym potencjalnie znacząco oddziaływać na środowisko, dla którego obowiązek przeprowadzenia oceny oddziaływania na środowisko może być stwierdzony na podstawie art. 63 ust. 1 ustawy </w:t>
      </w:r>
      <w:proofErr w:type="spellStart"/>
      <w:r w:rsidRPr="00A628DA">
        <w:rPr>
          <w:rFonts w:ascii="Liberation Serif" w:eastAsia="Noto Sans CJK SC Regular" w:hAnsi="Liberation Serif" w:cs="Lohit Devanagari"/>
          <w:kern w:val="2"/>
          <w:sz w:val="24"/>
          <w:szCs w:val="24"/>
          <w:lang w:eastAsia="zh-CN" w:bidi="hi-IN"/>
        </w:rPr>
        <w:t>ooś</w:t>
      </w:r>
      <w:proofErr w:type="spellEnd"/>
      <w:r w:rsidRPr="00A628DA">
        <w:rPr>
          <w:rFonts w:ascii="Liberation Serif" w:eastAsia="Noto Sans CJK SC Regular" w:hAnsi="Liberation Serif" w:cs="Lohit Devanagari"/>
          <w:kern w:val="2"/>
          <w:sz w:val="24"/>
          <w:szCs w:val="24"/>
          <w:lang w:eastAsia="zh-CN" w:bidi="hi-IN"/>
        </w:rPr>
        <w:t>.</w:t>
      </w:r>
    </w:p>
    <w:p w14:paraId="2ED42695" w14:textId="77777777" w:rsidR="00A42079" w:rsidRPr="00A42079" w:rsidRDefault="00A42079" w:rsidP="00A42079">
      <w:pPr>
        <w:spacing w:after="0" w:line="240" w:lineRule="auto"/>
        <w:jc w:val="both"/>
        <w:rPr>
          <w:rFonts w:ascii="Liberation Serif" w:eastAsia="Noto Sans CJK SC Regular" w:hAnsi="Liberation Serif" w:cs="Lohit Devanagari"/>
          <w:color w:val="FF0000"/>
          <w:kern w:val="2"/>
          <w:sz w:val="24"/>
          <w:szCs w:val="24"/>
          <w:lang w:eastAsia="zh-CN" w:bidi="hi-IN"/>
        </w:rPr>
      </w:pPr>
      <w:r w:rsidRPr="00A42079">
        <w:rPr>
          <w:rFonts w:ascii="Liberation Serif" w:eastAsia="Noto Sans CJK SC Regular" w:hAnsi="Liberation Serif" w:cs="Lohit Devanagari"/>
          <w:color w:val="FF0000"/>
          <w:kern w:val="2"/>
          <w:sz w:val="24"/>
          <w:szCs w:val="24"/>
          <w:lang w:eastAsia="zh-CN" w:bidi="hi-IN"/>
        </w:rPr>
        <w:tab/>
      </w:r>
      <w:r w:rsidRPr="00A628DA">
        <w:rPr>
          <w:rFonts w:ascii="Liberation Serif" w:eastAsia="Noto Sans CJK SC Regular" w:hAnsi="Liberation Serif" w:cs="Lohit Devanagari"/>
          <w:kern w:val="2"/>
          <w:sz w:val="24"/>
          <w:szCs w:val="24"/>
          <w:lang w:eastAsia="zh-CN" w:bidi="hi-IN"/>
        </w:rPr>
        <w:t xml:space="preserve">W myśl art. 71 ust. 2 pkt 2 ustawy </w:t>
      </w:r>
      <w:proofErr w:type="spellStart"/>
      <w:r w:rsidRPr="00A628DA">
        <w:rPr>
          <w:rFonts w:ascii="Liberation Serif" w:eastAsia="Noto Sans CJK SC Regular" w:hAnsi="Liberation Serif" w:cs="Lohit Devanagari"/>
          <w:kern w:val="2"/>
          <w:sz w:val="24"/>
          <w:szCs w:val="24"/>
          <w:lang w:eastAsia="zh-CN" w:bidi="hi-IN"/>
        </w:rPr>
        <w:t>ooś</w:t>
      </w:r>
      <w:proofErr w:type="spellEnd"/>
      <w:r w:rsidRPr="00A628DA">
        <w:rPr>
          <w:rFonts w:ascii="Liberation Serif" w:eastAsia="Noto Sans CJK SC Regular" w:hAnsi="Liberation Serif" w:cs="Lohit Devanagari"/>
          <w:kern w:val="2"/>
          <w:sz w:val="24"/>
          <w:szCs w:val="24"/>
          <w:lang w:eastAsia="zh-CN" w:bidi="hi-IN"/>
        </w:rPr>
        <w:t xml:space="preserve">, dla planowanych przedsięwzięć mogących potencjalnie znacząco oddziaływać na środowisko, wymagane jest uzyskanie decyzji o środowiskowych uwarunkowaniach przed wydaniem decyzji wymienionych w art. 72 ust.1 lub dokonaniem zgłoszenia określonego w art. 72 ust. 1 a ustawy </w:t>
      </w:r>
      <w:proofErr w:type="spellStart"/>
      <w:r w:rsidRPr="00A628DA">
        <w:rPr>
          <w:rFonts w:ascii="Liberation Serif" w:eastAsia="Noto Sans CJK SC Regular" w:hAnsi="Liberation Serif" w:cs="Lohit Devanagari"/>
          <w:kern w:val="2"/>
          <w:sz w:val="24"/>
          <w:szCs w:val="24"/>
          <w:lang w:eastAsia="zh-CN" w:bidi="hi-IN"/>
        </w:rPr>
        <w:t>ooś</w:t>
      </w:r>
      <w:proofErr w:type="spellEnd"/>
      <w:r w:rsidRPr="00A628DA">
        <w:rPr>
          <w:rFonts w:ascii="Liberation Serif" w:eastAsia="Noto Sans CJK SC Regular" w:hAnsi="Liberation Serif" w:cs="Lohit Devanagari"/>
          <w:kern w:val="2"/>
          <w:sz w:val="24"/>
          <w:szCs w:val="24"/>
          <w:lang w:eastAsia="zh-CN" w:bidi="hi-IN"/>
        </w:rPr>
        <w:t>.</w:t>
      </w:r>
    </w:p>
    <w:p w14:paraId="4F576D49" w14:textId="77777777" w:rsidR="00A628DA" w:rsidRDefault="00A42079" w:rsidP="00A42079">
      <w:pPr>
        <w:spacing w:after="0" w:line="240" w:lineRule="auto"/>
        <w:jc w:val="both"/>
        <w:rPr>
          <w:rFonts w:ascii="Times New Roman" w:eastAsia="Noto Sans CJK SC Regular" w:hAnsi="Times New Roman"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A628DA">
        <w:rPr>
          <w:rFonts w:ascii="Times New Roman" w:eastAsia="Noto Sans CJK SC Regular" w:hAnsi="Times New Roman" w:cs="Lohit Devanagari"/>
          <w:kern w:val="2"/>
          <w:sz w:val="24"/>
          <w:szCs w:val="24"/>
          <w:lang w:eastAsia="zh-CN" w:bidi="hi-IN"/>
        </w:rPr>
        <w:t xml:space="preserve">Mając na uwadze powyższe, stosownie do zapisów art. 64 ust. 1 w/w ustawy, Burmistrz Nowogrodu Bobrzańskiego wystąpił do Regionalnego Dyrektora Ochrony Środowiska w Gorzowie Wielkopolskim, Państwowego Powiatowego Inspektora Sanitarnego w Zielonej Górze oraz </w:t>
      </w:r>
      <w:r w:rsidRPr="00A628DA">
        <w:rPr>
          <w:rFonts w:ascii="Times New Roman" w:eastAsia="Times New Roman" w:hAnsi="Times New Roman" w:cs="Times New Roman"/>
          <w:kern w:val="2"/>
          <w:sz w:val="24"/>
          <w:szCs w:val="24"/>
          <w:lang w:eastAsia="pl-PL" w:bidi="hi-IN"/>
        </w:rPr>
        <w:t>Dyrektora Państwowego Gospodarstwa Wodnego Wody Polskie Zarządu Zlewni w Lwówku Śląskim</w:t>
      </w:r>
      <w:r w:rsidRPr="00A628DA">
        <w:rPr>
          <w:rFonts w:ascii="Times New Roman" w:eastAsia="Noto Sans CJK SC Regular" w:hAnsi="Times New Roman" w:cs="Lohit Devanagari"/>
          <w:kern w:val="2"/>
          <w:sz w:val="24"/>
          <w:szCs w:val="24"/>
          <w:lang w:eastAsia="zh-CN" w:bidi="hi-IN"/>
        </w:rPr>
        <w:t>, o wydanie opinii w przedmiocie potrzeby przeprowadzenia oceny oddziaływania na środowisko oraz ewentualnego zakresu raportu o oddziaływaniu na środowisko.</w:t>
      </w:r>
      <w:r w:rsidR="00A628DA" w:rsidRPr="00A628DA">
        <w:rPr>
          <w:rFonts w:ascii="Times New Roman" w:eastAsia="Noto Sans CJK SC Regular" w:hAnsi="Times New Roman" w:cs="Lohit Devanagari"/>
          <w:color w:val="FF0000"/>
          <w:kern w:val="2"/>
          <w:sz w:val="24"/>
          <w:szCs w:val="24"/>
          <w:lang w:eastAsia="zh-CN" w:bidi="hi-IN"/>
        </w:rPr>
        <w:t xml:space="preserve"> </w:t>
      </w:r>
    </w:p>
    <w:p w14:paraId="1BD8E245" w14:textId="71D4FD62" w:rsidR="00A42079" w:rsidRDefault="00A628DA" w:rsidP="00A42079">
      <w:pPr>
        <w:spacing w:after="0" w:line="240" w:lineRule="auto"/>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color w:val="FF0000"/>
          <w:kern w:val="2"/>
          <w:sz w:val="24"/>
          <w:szCs w:val="24"/>
          <w:lang w:eastAsia="zh-CN" w:bidi="hi-IN"/>
        </w:rPr>
        <w:tab/>
      </w:r>
      <w:r w:rsidRPr="00A628DA">
        <w:rPr>
          <w:rFonts w:ascii="Times New Roman" w:eastAsia="Noto Sans CJK SC Regular" w:hAnsi="Times New Roman" w:cs="Lohit Devanagari"/>
          <w:kern w:val="2"/>
          <w:sz w:val="24"/>
          <w:szCs w:val="24"/>
          <w:lang w:eastAsia="zh-CN" w:bidi="hi-IN"/>
        </w:rPr>
        <w:t xml:space="preserve">Regionalny Dyrektor Ochrony Środowiska w Gorzowie Wielkopolskim, w opinii z dnia 19  października 2023 r. (data wpływu do tut. Urzędu 19.10.2023 r.); znak: WZŚ.4220.523.2023.SL stwierdził, że dla planowanego przedsięwzięcia nie </w:t>
      </w:r>
      <w:r>
        <w:rPr>
          <w:rFonts w:ascii="Times New Roman" w:eastAsia="Noto Sans CJK SC Regular" w:hAnsi="Times New Roman" w:cs="Lohit Devanagari"/>
          <w:kern w:val="2"/>
          <w:sz w:val="24"/>
          <w:szCs w:val="24"/>
          <w:lang w:eastAsia="zh-CN" w:bidi="hi-IN"/>
        </w:rPr>
        <w:t>ma konieczności</w:t>
      </w:r>
      <w:r w:rsidRPr="00A628DA">
        <w:rPr>
          <w:rFonts w:ascii="Times New Roman" w:eastAsia="Noto Sans CJK SC Regular" w:hAnsi="Times New Roman" w:cs="Lohit Devanagari"/>
          <w:kern w:val="2"/>
          <w:sz w:val="24"/>
          <w:szCs w:val="24"/>
          <w:lang w:eastAsia="zh-CN" w:bidi="hi-IN"/>
        </w:rPr>
        <w:t xml:space="preserve"> przeprowadzenia oceny oddziaływania na środowisko.</w:t>
      </w:r>
    </w:p>
    <w:p w14:paraId="3E854AE8" w14:textId="5EB0FA25" w:rsidR="00A628DA" w:rsidRPr="00A628DA" w:rsidRDefault="00A628DA" w:rsidP="00A42079">
      <w:pPr>
        <w:spacing w:after="0" w:line="240" w:lineRule="auto"/>
        <w:jc w:val="both"/>
        <w:rPr>
          <w:rFonts w:ascii="Times New Roman" w:eastAsia="Noto Sans CJK SC Regular" w:hAnsi="Times New Roman" w:cs="Times New Roman"/>
          <w:color w:val="FF0000"/>
          <w:kern w:val="2"/>
          <w:sz w:val="24"/>
          <w:szCs w:val="24"/>
          <w:lang w:eastAsia="zh-CN" w:bidi="hi-IN"/>
        </w:rPr>
      </w:pPr>
      <w:r>
        <w:rPr>
          <w:rFonts w:ascii="Times New Roman" w:eastAsia="Times New Roman" w:hAnsi="Times New Roman" w:cs="Times New Roman"/>
          <w:color w:val="FF0000"/>
          <w:kern w:val="2"/>
          <w:sz w:val="24"/>
          <w:szCs w:val="24"/>
          <w:lang w:eastAsia="pl-PL" w:bidi="hi-IN"/>
        </w:rPr>
        <w:tab/>
      </w:r>
      <w:r w:rsidRPr="002B5947">
        <w:rPr>
          <w:rFonts w:ascii="Times New Roman" w:eastAsia="Times New Roman" w:hAnsi="Times New Roman" w:cs="Times New Roman"/>
          <w:kern w:val="2"/>
          <w:sz w:val="24"/>
          <w:szCs w:val="24"/>
          <w:lang w:eastAsia="pl-PL" w:bidi="hi-IN"/>
        </w:rPr>
        <w:t xml:space="preserve">Dyrektor Państwowego Gospodarstwa Wodnego Wody Polskie Zarządu Zlewni w Lwówku Śląskim </w:t>
      </w:r>
      <w:r w:rsidRPr="002B5947">
        <w:rPr>
          <w:rFonts w:ascii="Times New Roman" w:eastAsia="Noto Sans CJK SC Regular" w:hAnsi="Times New Roman" w:cs="Lohit Devanagari"/>
          <w:kern w:val="2"/>
          <w:sz w:val="24"/>
          <w:szCs w:val="24"/>
          <w:lang w:eastAsia="zh-CN" w:bidi="hi-IN"/>
        </w:rPr>
        <w:t xml:space="preserve">w opinii z dnia 18 października 2023 r. (data wpływu do tut. 23.10.2023 r.); znak: WR.RZŚ.3.4901.153.2023.MD odstąpił od obowiązku przeprowadzenia oceny oddziaływania na środowisko planowanego przedsięwzięcia </w:t>
      </w:r>
      <w:r w:rsidRPr="002B5947">
        <w:rPr>
          <w:rFonts w:ascii="Times New Roman" w:eastAsia="Noto Sans CJK SC Regular" w:hAnsi="Times New Roman" w:cs="Times New Roman"/>
          <w:kern w:val="2"/>
          <w:sz w:val="24"/>
          <w:szCs w:val="24"/>
          <w:lang w:eastAsia="zh-CN" w:bidi="hi-IN"/>
        </w:rPr>
        <w:t>wskazując jednocześnie na konieczność określenia w decyzji o środowiskowych uwarunkowaniach wymagań, które organ uwzględnił w pkt. II sentencji niniejszej decyzji.</w:t>
      </w:r>
    </w:p>
    <w:p w14:paraId="486C71E5" w14:textId="728F46E0" w:rsidR="00A42079" w:rsidRPr="002B5947" w:rsidRDefault="00A42079" w:rsidP="00A42079">
      <w:pPr>
        <w:spacing w:after="0" w:line="240" w:lineRule="auto"/>
        <w:jc w:val="both"/>
        <w:rPr>
          <w:rFonts w:ascii="Times New Roman" w:eastAsia="Times New Roman" w:hAnsi="Times New Roman" w:cs="Times New Roman"/>
          <w:color w:val="FF0000"/>
          <w:kern w:val="2"/>
          <w:sz w:val="24"/>
          <w:szCs w:val="24"/>
          <w:lang w:eastAsia="pl-PL" w:bidi="hi-IN"/>
        </w:rPr>
      </w:pPr>
      <w:r w:rsidRPr="00A42079">
        <w:rPr>
          <w:rFonts w:ascii="Times New Roman" w:eastAsia="Noto Sans CJK SC Regular" w:hAnsi="Times New Roman" w:cs="Lohit Devanagari"/>
          <w:color w:val="FF0000"/>
          <w:kern w:val="2"/>
          <w:sz w:val="24"/>
          <w:szCs w:val="24"/>
          <w:lang w:eastAsia="zh-CN" w:bidi="hi-IN"/>
        </w:rPr>
        <w:tab/>
      </w:r>
      <w:r w:rsidRPr="002B5947">
        <w:rPr>
          <w:rFonts w:ascii="Times New Roman" w:eastAsia="Noto Sans CJK SC Regular" w:hAnsi="Times New Roman" w:cs="Lohit Devanagari"/>
          <w:kern w:val="2"/>
          <w:sz w:val="24"/>
          <w:szCs w:val="24"/>
          <w:lang w:eastAsia="zh-CN" w:bidi="hi-IN"/>
        </w:rPr>
        <w:t xml:space="preserve">Państwowy Powiatowy Inspektor Sanitarny w Zielonej Górze, opinią sanitarną z dnia </w:t>
      </w:r>
      <w:r w:rsidR="002B5947" w:rsidRPr="002B5947">
        <w:rPr>
          <w:rFonts w:ascii="Times New Roman" w:eastAsia="Noto Sans CJK SC Regular" w:hAnsi="Times New Roman" w:cs="Lohit Devanagari"/>
          <w:kern w:val="2"/>
          <w:sz w:val="24"/>
          <w:szCs w:val="24"/>
          <w:lang w:eastAsia="zh-CN" w:bidi="hi-IN"/>
        </w:rPr>
        <w:t>24</w:t>
      </w:r>
      <w:r w:rsidRPr="002B5947">
        <w:rPr>
          <w:rFonts w:ascii="Times New Roman" w:eastAsia="Noto Sans CJK SC Regular" w:hAnsi="Times New Roman" w:cs="Lohit Devanagari"/>
          <w:kern w:val="2"/>
          <w:sz w:val="24"/>
          <w:szCs w:val="24"/>
          <w:lang w:eastAsia="zh-CN" w:bidi="hi-IN"/>
        </w:rPr>
        <w:t xml:space="preserve"> </w:t>
      </w:r>
      <w:r w:rsidR="002B5947" w:rsidRPr="002B5947">
        <w:rPr>
          <w:rFonts w:ascii="Times New Roman" w:eastAsia="Noto Sans CJK SC Regular" w:hAnsi="Times New Roman" w:cs="Lohit Devanagari"/>
          <w:kern w:val="2"/>
          <w:sz w:val="24"/>
          <w:szCs w:val="24"/>
          <w:lang w:eastAsia="zh-CN" w:bidi="hi-IN"/>
        </w:rPr>
        <w:t>października</w:t>
      </w:r>
      <w:r w:rsidRPr="002B5947">
        <w:rPr>
          <w:rFonts w:ascii="Times New Roman" w:eastAsia="Noto Sans CJK SC Regular" w:hAnsi="Times New Roman" w:cs="Lohit Devanagari"/>
          <w:kern w:val="2"/>
          <w:sz w:val="24"/>
          <w:szCs w:val="24"/>
          <w:lang w:eastAsia="zh-CN" w:bidi="hi-IN"/>
        </w:rPr>
        <w:t xml:space="preserve"> 2023 r. (data wpływu do tut. Urzędu </w:t>
      </w:r>
      <w:r w:rsidR="002B5947" w:rsidRPr="002B5947">
        <w:rPr>
          <w:rFonts w:ascii="Times New Roman" w:eastAsia="Noto Sans CJK SC Regular" w:hAnsi="Times New Roman" w:cs="Lohit Devanagari"/>
          <w:kern w:val="2"/>
          <w:sz w:val="24"/>
          <w:szCs w:val="24"/>
          <w:lang w:eastAsia="zh-CN" w:bidi="hi-IN"/>
        </w:rPr>
        <w:t>24.10</w:t>
      </w:r>
      <w:r w:rsidRPr="002B5947">
        <w:rPr>
          <w:rFonts w:ascii="Times New Roman" w:eastAsia="Noto Sans CJK SC Regular" w:hAnsi="Times New Roman" w:cs="Lohit Devanagari"/>
          <w:kern w:val="2"/>
          <w:sz w:val="24"/>
          <w:szCs w:val="24"/>
          <w:lang w:eastAsia="zh-CN" w:bidi="hi-IN"/>
        </w:rPr>
        <w:t>.2023 r.); znak: NZ.9022.1.</w:t>
      </w:r>
      <w:r w:rsidR="002B5947" w:rsidRPr="002B5947">
        <w:rPr>
          <w:rFonts w:ascii="Times New Roman" w:eastAsia="Noto Sans CJK SC Regular" w:hAnsi="Times New Roman" w:cs="Lohit Devanagari"/>
          <w:kern w:val="2"/>
          <w:sz w:val="24"/>
          <w:szCs w:val="24"/>
          <w:lang w:eastAsia="zh-CN" w:bidi="hi-IN"/>
        </w:rPr>
        <w:t>78</w:t>
      </w:r>
      <w:r w:rsidRPr="002B5947">
        <w:rPr>
          <w:rFonts w:ascii="Times New Roman" w:eastAsia="Noto Sans CJK SC Regular" w:hAnsi="Times New Roman" w:cs="Lohit Devanagari"/>
          <w:kern w:val="2"/>
          <w:sz w:val="24"/>
          <w:szCs w:val="24"/>
          <w:lang w:eastAsia="zh-CN" w:bidi="hi-IN"/>
        </w:rPr>
        <w:t>.2023 zajął stanowisko, że przeprowadzenie oceny oddziaływania przedsięwzięcia w zakresie wymagań higienicznych i zdrowotnych na środowisko nie jest wymagane.</w:t>
      </w:r>
      <w:r w:rsidRPr="002B5947">
        <w:rPr>
          <w:rFonts w:ascii="Times New Roman" w:eastAsia="Times New Roman" w:hAnsi="Times New Roman" w:cs="Times New Roman"/>
          <w:kern w:val="2"/>
          <w:sz w:val="24"/>
          <w:szCs w:val="24"/>
          <w:lang w:eastAsia="pl-PL" w:bidi="hi-IN"/>
        </w:rPr>
        <w:t xml:space="preserve"> </w:t>
      </w:r>
    </w:p>
    <w:p w14:paraId="035A3CAE" w14:textId="77777777" w:rsidR="00A42079" w:rsidRDefault="00A42079" w:rsidP="00A42079">
      <w:pPr>
        <w:spacing w:after="0" w:line="240" w:lineRule="auto"/>
        <w:jc w:val="both"/>
        <w:rPr>
          <w:rFonts w:ascii="Times New Roman" w:eastAsia="Noto Sans CJK SC Regular" w:hAnsi="Times New Roman" w:cs="Lohit Devanagari"/>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2B5947">
        <w:rPr>
          <w:rFonts w:ascii="Times New Roman" w:eastAsia="Noto Sans CJK SC Regular" w:hAnsi="Times New Roman" w:cs="Lohit Devanagari"/>
          <w:kern w:val="2"/>
          <w:sz w:val="24"/>
          <w:szCs w:val="24"/>
          <w:lang w:eastAsia="zh-CN" w:bidi="hi-IN"/>
        </w:rPr>
        <w:t xml:space="preserve">Obowiązek przeprowadzenia oceny oddziaływania na środowisko dla przedsięwzięć mogących potencjalnie znacząco oddziaływać na środowisko, ustalany jest z uwzględnieniem wymagań, o których mowa w art. 63 ust. 1 ustawy o udostępnianiu informacji o środowisku i jego ochronie, udziale społeczeństwa w ochronie środowiska oraz o ocenach oddziaływania na środowisko. Dlatego też, biorąc pod uwagę uwarunkowania wymienione w art. 63 ust. 1 ustawy </w:t>
      </w:r>
      <w:proofErr w:type="spellStart"/>
      <w:r w:rsidRPr="002B5947">
        <w:rPr>
          <w:rFonts w:ascii="Times New Roman" w:eastAsia="Noto Sans CJK SC Regular" w:hAnsi="Times New Roman" w:cs="Lohit Devanagari"/>
          <w:kern w:val="2"/>
          <w:sz w:val="24"/>
          <w:szCs w:val="24"/>
          <w:lang w:eastAsia="zh-CN" w:bidi="hi-IN"/>
        </w:rPr>
        <w:t>ooś</w:t>
      </w:r>
      <w:proofErr w:type="spellEnd"/>
      <w:r w:rsidRPr="002B5947">
        <w:rPr>
          <w:rFonts w:ascii="Times New Roman" w:eastAsia="Noto Sans CJK SC Regular" w:hAnsi="Times New Roman" w:cs="Lohit Devanagari"/>
          <w:kern w:val="2"/>
          <w:sz w:val="24"/>
          <w:szCs w:val="24"/>
          <w:lang w:eastAsia="zh-CN" w:bidi="hi-IN"/>
        </w:rPr>
        <w:t xml:space="preserve"> przeanalizowano: skalę i charakter inwestycji, wielkość zajmowanego terenu, zakres robót związanych z realizacją inwestycji, prawdopodobieństwo, czas trwania, zasięg oddziaływania, możliwości ograniczenia oddziaływania oraz jego odwracalność, powiązania z innymi przedsięwzięciami, a także wykorzystanie zasobów naturalnych, różnorodność biologiczną, emisję i uciążliwości związane z eksploatacją przedsięwzięcia, gęstość zaludnienia wokół przedsięwzięcia oraz jego usytuowanie względem obszarów wymagających specjalnej ochrony ze względu na występowanie gatunków roślin i zwierząt, ich siedlisk lub siedlisk przyrodniczych objętych ochroną, w tym obszarów Natura 2000.</w:t>
      </w:r>
    </w:p>
    <w:p w14:paraId="48FD4CE5" w14:textId="51D2B34B" w:rsidR="0056285A" w:rsidRPr="00A42079" w:rsidRDefault="0056285A" w:rsidP="00A42079">
      <w:pPr>
        <w:spacing w:after="0" w:line="240" w:lineRule="auto"/>
        <w:jc w:val="both"/>
        <w:rPr>
          <w:rFonts w:ascii="Liberation Serif" w:eastAsia="Noto Sans CJK SC Regular" w:hAnsi="Liberation Serif" w:cs="Lohit Devanagari"/>
          <w:color w:val="FF0000"/>
          <w:kern w:val="2"/>
          <w:sz w:val="24"/>
          <w:szCs w:val="24"/>
          <w:lang w:eastAsia="zh-CN" w:bidi="hi-IN"/>
        </w:rPr>
      </w:pPr>
      <w:r>
        <w:rPr>
          <w:rFonts w:ascii="Times New Roman" w:eastAsia="Noto Sans CJK SC Regular" w:hAnsi="Times New Roman" w:cs="Lohit Devanagari"/>
          <w:kern w:val="2"/>
          <w:sz w:val="24"/>
          <w:szCs w:val="24"/>
          <w:lang w:eastAsia="zh-CN" w:bidi="hi-IN"/>
        </w:rPr>
        <w:tab/>
        <w:t xml:space="preserve">Projektowane przedsięwzięcie polegać będzie na budowie elektrowni fotowoltaicznej o mocy do 8 MW na działce o numerze </w:t>
      </w:r>
      <w:proofErr w:type="spellStart"/>
      <w:r>
        <w:rPr>
          <w:rFonts w:ascii="Times New Roman" w:eastAsia="Noto Sans CJK SC Regular" w:hAnsi="Times New Roman" w:cs="Lohit Devanagari"/>
          <w:kern w:val="2"/>
          <w:sz w:val="24"/>
          <w:szCs w:val="24"/>
          <w:lang w:eastAsia="zh-CN" w:bidi="hi-IN"/>
        </w:rPr>
        <w:t>ewid</w:t>
      </w:r>
      <w:proofErr w:type="spellEnd"/>
      <w:r>
        <w:rPr>
          <w:rFonts w:ascii="Times New Roman" w:eastAsia="Noto Sans CJK SC Regular" w:hAnsi="Times New Roman" w:cs="Lohit Devanagari"/>
          <w:kern w:val="2"/>
          <w:sz w:val="24"/>
          <w:szCs w:val="24"/>
          <w:lang w:eastAsia="zh-CN" w:bidi="hi-IN"/>
        </w:rPr>
        <w:t>. 541/10 obręb Drągowina, gmina Nowogród Bobrzański wraz z magazynem energii o mocy do 12 MW i pojemności do 48 MWh z możliwością etapowania inwestycji na więcej niż jedno niezależne przedsięwzięcie, wraz z infrastrukturą towarzyszącą. Zgodnie z kartą informacyjną przedsięwzięcia powierzchnia ww. działki inwestycyjnej wynosi ok. 8,34 ha. Maksymalna powierzchnia zajęta po</w:t>
      </w:r>
      <w:r w:rsidR="00786DFD">
        <w:rPr>
          <w:rFonts w:ascii="Times New Roman" w:eastAsia="Noto Sans CJK SC Regular" w:hAnsi="Times New Roman" w:cs="Lohit Devanagari"/>
          <w:kern w:val="2"/>
          <w:sz w:val="24"/>
          <w:szCs w:val="24"/>
          <w:lang w:eastAsia="zh-CN" w:bidi="hi-IN"/>
        </w:rPr>
        <w:t>p</w:t>
      </w:r>
      <w:r>
        <w:rPr>
          <w:rFonts w:ascii="Times New Roman" w:eastAsia="Noto Sans CJK SC Regular" w:hAnsi="Times New Roman" w:cs="Lohit Devanagari"/>
          <w:kern w:val="2"/>
          <w:sz w:val="24"/>
          <w:szCs w:val="24"/>
          <w:lang w:eastAsia="zh-CN" w:bidi="hi-IN"/>
        </w:rPr>
        <w:t>rzez inwestycję wyniesie do 8,29 ha.</w:t>
      </w:r>
    </w:p>
    <w:p w14:paraId="37D69490" w14:textId="2B1691A1" w:rsidR="00A42079" w:rsidRPr="0056285A" w:rsidRDefault="00A42079" w:rsidP="00A42079">
      <w:p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sidRPr="0056285A">
        <w:rPr>
          <w:rFonts w:ascii="Times New Roman" w:eastAsia="Noto Sans CJK SC Regular" w:hAnsi="Times New Roman" w:cs="Lohit Devanagari"/>
          <w:kern w:val="2"/>
          <w:sz w:val="24"/>
          <w:szCs w:val="24"/>
          <w:lang w:eastAsia="zh-CN" w:bidi="hi-IN"/>
        </w:rPr>
        <w:lastRenderedPageBreak/>
        <w:tab/>
      </w:r>
      <w:r w:rsidR="0056285A" w:rsidRPr="0056285A">
        <w:rPr>
          <w:rFonts w:ascii="Times New Roman" w:eastAsia="Noto Sans CJK SC Regular" w:hAnsi="Times New Roman" w:cs="Lohit Devanagari"/>
          <w:kern w:val="2"/>
          <w:sz w:val="24"/>
          <w:szCs w:val="24"/>
          <w:lang w:eastAsia="zh-CN" w:bidi="hi-IN"/>
        </w:rPr>
        <w:t>Działka, na której planuje się realizację przedsięwzięcia nie jest objęta miejscowym planem zagospodarowania przestrzennego.</w:t>
      </w:r>
    </w:p>
    <w:p w14:paraId="69779185" w14:textId="002B1B7D" w:rsidR="0056285A" w:rsidRPr="0056285A" w:rsidRDefault="0056285A" w:rsidP="00A42079">
      <w:p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ab/>
      </w:r>
      <w:r w:rsidRPr="0056285A">
        <w:rPr>
          <w:rFonts w:ascii="Times New Roman" w:eastAsia="Noto Sans CJK SC Regular" w:hAnsi="Times New Roman" w:cs="Lohit Devanagari"/>
          <w:kern w:val="2"/>
          <w:sz w:val="24"/>
          <w:szCs w:val="24"/>
          <w:lang w:eastAsia="zh-CN" w:bidi="hi-IN"/>
        </w:rPr>
        <w:t>Obszar przeznaczony pod realizację wnioskowanego przedsięwzięcia stanowią gleby orne o średnich i niskich klasach bonitacyjnych (IV, V i VI klasy). Teren inwestycji graniczy bezpośrednio z terenami rolnymi i leśnymi. Miejsce realizacji inwestycji oddalone jest ponad 500 m od najbliższych terenów chronionych akustycznie.</w:t>
      </w:r>
    </w:p>
    <w:p w14:paraId="097B6E1C" w14:textId="2FC79C0C" w:rsidR="00A42079" w:rsidRPr="0056285A" w:rsidRDefault="00A42079" w:rsidP="00A42079">
      <w:p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0056285A" w:rsidRPr="0056285A">
        <w:rPr>
          <w:rFonts w:ascii="Times New Roman" w:eastAsia="Noto Sans CJK SC Regular" w:hAnsi="Times New Roman" w:cs="Lohit Devanagari"/>
          <w:kern w:val="2"/>
          <w:sz w:val="24"/>
          <w:szCs w:val="24"/>
          <w:lang w:eastAsia="zh-CN" w:bidi="hi-IN"/>
        </w:rPr>
        <w:t>W zakres inwestycji wchodzą m.in.:</w:t>
      </w:r>
    </w:p>
    <w:p w14:paraId="622C9D7B" w14:textId="7C6853FB" w:rsidR="0056285A" w:rsidRDefault="0056285A"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sidRPr="0056285A">
        <w:rPr>
          <w:rFonts w:ascii="Times New Roman" w:eastAsia="Noto Sans CJK SC Regular" w:hAnsi="Times New Roman" w:cs="Lohit Devanagari"/>
          <w:kern w:val="2"/>
          <w:sz w:val="24"/>
          <w:szCs w:val="24"/>
          <w:lang w:eastAsia="zh-CN" w:bidi="hi-IN"/>
        </w:rPr>
        <w:t>Zespół paneli fotowoltaicznych o łącznej mocy do 8 MW- panele zostaną umieszczone w rzędach. Przestrzeń pomiędzy rzędami paneli nie będzie przekształcana i pozostanie biologicznie czynna. W ramach jednego rzędu, panele zostaną połączone za pomocą stalowych konstrukcji i posadowione na podporach wbitych w grunt. Panele wyposażone zostaną w powłokę antyrefleksyjną, zapobiegającą efektowi olśnienia.</w:t>
      </w:r>
    </w:p>
    <w:p w14:paraId="043ABFC4" w14:textId="108F359B" w:rsidR="00A95CC4" w:rsidRDefault="00A95CC4"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Inwertery (falowniki, przetwornice)- planuje się montaż maksymalnie 15 inwerterów na każdy 1 MW zainstalowanej mocy, będą one zamontowane pod konstrukcją paneli lub jako wolnostojące zamontowane w stacjach kontenerowych.</w:t>
      </w:r>
    </w:p>
    <w:p w14:paraId="4FFBF913" w14:textId="0BC567D4" w:rsidR="00A95CC4" w:rsidRDefault="00A95CC4"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Kontenerowa stacja transformatorowa- max. 2 szt. Transformatory umieszczone będą w kontenerze, które składają się z komory obsługi, komory transformatora, rozdzielnicy niskiego napięcia oraz rozdzielnicy średniego napięcia. Wszystkie transformatory olejowe zabezpieczone będą szczelną misą olejową na wypadek wycieku/awarii. Stacje transformatorowe zostaną zlokalizowane w odległości nie mniejszej niż 600 m od najbliższego budynku mieszkalnego.</w:t>
      </w:r>
    </w:p>
    <w:p w14:paraId="61083DC5" w14:textId="03DCCFA9" w:rsidR="00A95CC4" w:rsidRDefault="00A95CC4"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Magazyny energii o mocy do 12 MW i pojemności do 48 MWh. Powierzchnia zajęta pod magazyny energii wyniesie maksymalnie do 1000 m</w:t>
      </w:r>
      <w:r w:rsidRPr="00A95CC4">
        <w:rPr>
          <w:rFonts w:ascii="Times New Roman" w:eastAsia="Noto Sans CJK SC Regular" w:hAnsi="Times New Roman" w:cs="Lohit Devanagari"/>
          <w:kern w:val="2"/>
          <w:sz w:val="24"/>
          <w:szCs w:val="24"/>
          <w:vertAlign w:val="superscript"/>
          <w:lang w:eastAsia="zh-CN" w:bidi="hi-IN"/>
        </w:rPr>
        <w:t>2</w:t>
      </w:r>
      <w:r>
        <w:rPr>
          <w:rFonts w:ascii="Times New Roman" w:eastAsia="Noto Sans CJK SC Regular" w:hAnsi="Times New Roman" w:cs="Lohit Devanagari"/>
          <w:kern w:val="2"/>
          <w:sz w:val="24"/>
          <w:szCs w:val="24"/>
          <w:lang w:eastAsia="zh-CN" w:bidi="hi-IN"/>
        </w:rPr>
        <w:t xml:space="preserve">. </w:t>
      </w:r>
    </w:p>
    <w:p w14:paraId="49173899" w14:textId="3C23DB0B" w:rsidR="00A95CC4" w:rsidRDefault="00A95CC4"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Kontener techniczny o funkcji socjalnej, magazynowej itp. Dopuszcza się możliwość postawienia do dwóch kontenerów.</w:t>
      </w:r>
    </w:p>
    <w:p w14:paraId="2F2CD615" w14:textId="6E4608C3" w:rsidR="00A95CC4" w:rsidRDefault="00A95CC4"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Linie kablowe i inne urządzenia towarzyszące.</w:t>
      </w:r>
    </w:p>
    <w:p w14:paraId="46971C66" w14:textId="2E294202" w:rsidR="00A95CC4" w:rsidRDefault="00A95CC4"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Drogi wewnętrzne pomiędzy rzędami paneli o szerokości do 5 metrów.</w:t>
      </w:r>
    </w:p>
    <w:p w14:paraId="19CD2661" w14:textId="7F1E5066" w:rsidR="00A95CC4" w:rsidRDefault="00A95CC4" w:rsidP="0056285A">
      <w:pPr>
        <w:pStyle w:val="Akapitzlist"/>
        <w:numPr>
          <w:ilvl w:val="0"/>
          <w:numId w:val="6"/>
        </w:numPr>
        <w:shd w:val="clear" w:color="auto" w:fill="FFFFFF"/>
        <w:tabs>
          <w:tab w:val="left" w:pos="0"/>
        </w:tabs>
        <w:spacing w:after="0" w:line="240" w:lineRule="auto"/>
        <w:ind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Ogrodzenie terenu inwestycji.</w:t>
      </w:r>
    </w:p>
    <w:p w14:paraId="0FCB2385" w14:textId="7FD60F1B" w:rsidR="00A95CC4" w:rsidRDefault="00A95CC4" w:rsidP="00A95CC4">
      <w:pPr>
        <w:pStyle w:val="Akapitzlist"/>
        <w:shd w:val="clear" w:color="auto" w:fill="FFFFFF"/>
        <w:tabs>
          <w:tab w:val="left" w:pos="0"/>
        </w:tabs>
        <w:spacing w:after="0" w:line="240" w:lineRule="auto"/>
        <w:ind w:left="0"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ab/>
      </w:r>
    </w:p>
    <w:p w14:paraId="3DE9206C" w14:textId="20587E4D" w:rsidR="00A42079" w:rsidRPr="00A95CC4" w:rsidRDefault="00A95CC4" w:rsidP="00A95CC4">
      <w:pPr>
        <w:pStyle w:val="Akapitzlist"/>
        <w:shd w:val="clear" w:color="auto" w:fill="FFFFFF"/>
        <w:tabs>
          <w:tab w:val="left" w:pos="0"/>
        </w:tabs>
        <w:spacing w:after="0" w:line="240" w:lineRule="auto"/>
        <w:ind w:left="0" w:right="-11"/>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ab/>
        <w:t xml:space="preserve">Etap realizacji inwestycji nie będzie związany ze znaczącymi oddziaływaniami. Panele będą montowane na stalowych stelażach wbijanych w ziemię. </w:t>
      </w:r>
      <w:r w:rsidR="00A42079" w:rsidRPr="00A95CC4">
        <w:rPr>
          <w:rFonts w:ascii="Times New Roman" w:eastAsia="Noto Sans CJK SC Regular" w:hAnsi="Times New Roman" w:cs="Lohit Devanagari"/>
          <w:kern w:val="2"/>
          <w:sz w:val="24"/>
          <w:szCs w:val="24"/>
          <w:lang w:eastAsia="zh-CN" w:bidi="hi-IN"/>
        </w:rPr>
        <w:t xml:space="preserve">Ponadto, w  ziemi przebiegać będą kable elektryczne. W głównej mierze oddziaływanie będzie związane z emisją hałasu oraz zanieczyszczeń do powietrza, pochodzących z urządzeń i pojazdów wykorzystywanych w trakcie montażu. </w:t>
      </w:r>
      <w:r w:rsidR="00A42079" w:rsidRPr="005A15A0">
        <w:rPr>
          <w:rFonts w:ascii="Times New Roman" w:eastAsia="Noto Sans CJK SC Regular" w:hAnsi="Times New Roman" w:cs="Lohit Devanagari"/>
          <w:kern w:val="2"/>
          <w:sz w:val="24"/>
          <w:szCs w:val="24"/>
          <w:lang w:eastAsia="zh-CN" w:bidi="hi-IN"/>
        </w:rPr>
        <w:t xml:space="preserve">Odpady będą magazynowane w wyznaczonym miejscu i przekazywane  do dalszego zagospodarowania, zgodnie z obowiązującymi przepisami. </w:t>
      </w:r>
      <w:r w:rsidR="008C6C12">
        <w:rPr>
          <w:rFonts w:ascii="Times New Roman" w:eastAsia="Noto Sans CJK SC Regular" w:hAnsi="Times New Roman" w:cs="Lohit Devanagari"/>
          <w:kern w:val="2"/>
          <w:sz w:val="24"/>
          <w:szCs w:val="24"/>
          <w:lang w:eastAsia="zh-CN" w:bidi="hi-IN"/>
        </w:rPr>
        <w:t xml:space="preserve">Realizacja i eksploatacja inwestycji nie będzie wiązała się z powstawaniem ścieków bytowych i przemysłowych. W przypadku powstawania w trakcie realizacji inwestycji ścieków bytowych należy gromadzić je w przenośnych sanitariatach i systematycznie wywozić przez uprawnione podmioty. </w:t>
      </w:r>
      <w:r w:rsidR="00A42079" w:rsidRPr="005A15A0">
        <w:rPr>
          <w:rFonts w:ascii="Times New Roman" w:eastAsia="Noto Sans CJK SC Regular" w:hAnsi="Times New Roman" w:cs="Lohit Devanagari"/>
          <w:kern w:val="2"/>
          <w:sz w:val="24"/>
          <w:szCs w:val="24"/>
          <w:lang w:eastAsia="zh-CN" w:bidi="hi-IN"/>
        </w:rPr>
        <w:t xml:space="preserve">Oddziaływania na tym etapie będą miały charakter krótkookresowy i lokalny oraz ustaną po zakończeniu prac. </w:t>
      </w:r>
    </w:p>
    <w:p w14:paraId="6CDC0D1A" w14:textId="7403D36B" w:rsidR="00A42079" w:rsidRPr="00A42079" w:rsidRDefault="00A42079" w:rsidP="005B4DB0">
      <w:pPr>
        <w:shd w:val="clear" w:color="auto" w:fill="FFFFFF"/>
        <w:tabs>
          <w:tab w:val="left" w:pos="0"/>
          <w:tab w:val="left" w:pos="709"/>
        </w:tabs>
        <w:spacing w:before="120" w:after="0" w:line="240" w:lineRule="auto"/>
        <w:ind w:right="-11"/>
        <w:jc w:val="both"/>
        <w:rPr>
          <w:rFonts w:ascii="Times New Roman" w:eastAsia="Noto Sans CJK SC Regular" w:hAnsi="Times New Roman"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5A15A0">
        <w:rPr>
          <w:rFonts w:ascii="Times New Roman" w:eastAsia="Noto Sans CJK SC Regular" w:hAnsi="Times New Roman" w:cs="Lohit Devanagari"/>
          <w:kern w:val="2"/>
          <w:sz w:val="24"/>
          <w:szCs w:val="24"/>
          <w:lang w:eastAsia="zh-CN" w:bidi="hi-IN"/>
        </w:rPr>
        <w:t xml:space="preserve">Etap użytkowania nie będzie wiązał się z oddziaływaniami mogącymi mieć charakter znaczący. </w:t>
      </w:r>
      <w:r w:rsidR="005A15A0" w:rsidRPr="005A15A0">
        <w:rPr>
          <w:rFonts w:ascii="Times New Roman" w:eastAsia="Noto Sans CJK SC Regular" w:hAnsi="Times New Roman" w:cs="Lohit Devanagari"/>
          <w:kern w:val="2"/>
          <w:sz w:val="24"/>
          <w:szCs w:val="24"/>
          <w:lang w:eastAsia="zh-CN" w:bidi="hi-IN"/>
        </w:rPr>
        <w:t>Panele fotowoltaiczne działają bezobsługowo. Czyszczenie wykonywane jest wodą zdemineralizowaną. Projektowane są specjalne panele z powłoką antyrefleksyjną, co ograniczy odbijanie światła. Woda opadowa i roztopowa będzie odprowadzana powierzchniowo na tere</w:t>
      </w:r>
      <w:r w:rsidR="005A15A0">
        <w:rPr>
          <w:rFonts w:ascii="Times New Roman" w:eastAsia="Noto Sans CJK SC Regular" w:hAnsi="Times New Roman" w:cs="Lohit Devanagari"/>
          <w:kern w:val="2"/>
          <w:sz w:val="24"/>
          <w:szCs w:val="24"/>
          <w:lang w:eastAsia="zh-CN" w:bidi="hi-IN"/>
        </w:rPr>
        <w:t>n działki. Odpady powstawać będą jedynie przy okazji prac serwisowych i zagospodarowywane będą przez podmioty prowadzące te prace. Źródłem hałasu będą stacje transformatorowe i inwertery, Stacje transformatorowe</w:t>
      </w:r>
      <w:r w:rsidR="005B4DB0">
        <w:rPr>
          <w:rFonts w:ascii="Times New Roman" w:eastAsia="Noto Sans CJK SC Regular" w:hAnsi="Times New Roman" w:cs="Lohit Devanagari"/>
          <w:kern w:val="2"/>
          <w:sz w:val="24"/>
          <w:szCs w:val="24"/>
          <w:lang w:eastAsia="zh-CN" w:bidi="hi-IN"/>
        </w:rPr>
        <w:t xml:space="preserve"> usytuowane będą w kontenerach. Ograniczy to ewentualną emisję hałasu, a także potencjalne pole elektromagnetyczne. Panele będą chłodzone w wyniku naturalnego przepływu powietrza, bez użycia wentylatorów.</w:t>
      </w:r>
      <w:r w:rsidR="005A15A0" w:rsidRPr="005A15A0">
        <w:rPr>
          <w:rFonts w:ascii="Times New Roman" w:eastAsia="Noto Sans CJK SC Regular" w:hAnsi="Times New Roman" w:cs="Lohit Devanagari"/>
          <w:color w:val="FF0000"/>
          <w:kern w:val="2"/>
          <w:sz w:val="24"/>
          <w:szCs w:val="24"/>
          <w:lang w:eastAsia="zh-CN" w:bidi="hi-IN"/>
        </w:rPr>
        <w:t xml:space="preserve"> </w:t>
      </w:r>
    </w:p>
    <w:p w14:paraId="50EF90EF" w14:textId="376DBA49" w:rsidR="00A42079" w:rsidRPr="00A42079" w:rsidRDefault="00A42079" w:rsidP="00A42079">
      <w:pPr>
        <w:shd w:val="clear" w:color="auto" w:fill="FFFFFF"/>
        <w:tabs>
          <w:tab w:val="left" w:pos="0"/>
        </w:tabs>
        <w:spacing w:before="120" w:after="0" w:line="240" w:lineRule="auto"/>
        <w:ind w:right="-11"/>
        <w:jc w:val="both"/>
        <w:rPr>
          <w:rFonts w:ascii="Times New Roman" w:eastAsia="Noto Sans CJK SC Regular" w:hAnsi="Times New Roman" w:cs="Times New Roman"/>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lastRenderedPageBreak/>
        <w:tab/>
      </w:r>
      <w:r w:rsidRPr="005B4DB0">
        <w:rPr>
          <w:rFonts w:ascii="Times New Roman" w:eastAsia="Noto Sans CJK SC Regular" w:hAnsi="Times New Roman" w:cs="Lohit Devanagari"/>
          <w:kern w:val="2"/>
          <w:sz w:val="24"/>
          <w:szCs w:val="24"/>
          <w:lang w:eastAsia="zh-CN" w:bidi="hi-IN"/>
        </w:rPr>
        <w:t xml:space="preserve">Uwzględniając łącznie uwarunkowania związane z kwalifikowaniem przedsięwzięcia do przeprowadzenia oceny oddziaływania na środowisko, określone w art. 63 ustawy o </w:t>
      </w:r>
      <w:proofErr w:type="spellStart"/>
      <w:r w:rsidRPr="005B4DB0">
        <w:rPr>
          <w:rFonts w:ascii="Times New Roman" w:eastAsia="Noto Sans CJK SC Regular" w:hAnsi="Times New Roman" w:cs="Lohit Devanagari"/>
          <w:kern w:val="2"/>
          <w:sz w:val="24"/>
          <w:szCs w:val="24"/>
          <w:lang w:eastAsia="zh-CN" w:bidi="hi-IN"/>
        </w:rPr>
        <w:t>ooś</w:t>
      </w:r>
      <w:proofErr w:type="spellEnd"/>
      <w:r w:rsidRPr="005B4DB0">
        <w:rPr>
          <w:rFonts w:ascii="Times New Roman" w:eastAsia="Noto Sans CJK SC Regular" w:hAnsi="Times New Roman" w:cs="Lohit Devanagari"/>
          <w:kern w:val="2"/>
          <w:sz w:val="24"/>
          <w:szCs w:val="24"/>
          <w:lang w:eastAsia="zh-CN" w:bidi="hi-IN"/>
        </w:rPr>
        <w:t xml:space="preserve"> po analizie wniosku o wydanie decyzji o środowiskowych uwarunkowaniach dla planowanego przedsięwzięcia oraz karty informacyjnej przedsięwzięcia, stwierdzono, że nie jest ono zlokalizowane w obszarach wodno-błotnych, oraz innych obszarach o płytkim zaleganiu wód podziemnych, w tym siedliskach łęgowych oraz ujściach rzek, na obszarach wybrzeży i w środowisku morskim, obszarach górskich lub leśnych. Przedsięwzięcie nie jest również zlokalizowane na obszarach objętych ochroną, w tym strefach ochronnych ujęć wód i obszarach ochronnych zbiorników wód śródlądowych, obszarach na których standardy jakości środowiska zostały przekroczone lub istnieje prawdopodobieństwo ich przekroczenia, obszarach o krajobrazie mającym znaczenie historyczne, kulturowe lub archeologiczne. </w:t>
      </w:r>
      <w:r w:rsidRPr="00A42079">
        <w:rPr>
          <w:rFonts w:ascii="Times New Roman" w:eastAsia="Noto Sans CJK SC Regular" w:hAnsi="Times New Roman" w:cs="Lohit Devanagari"/>
          <w:color w:val="FF0000"/>
          <w:kern w:val="2"/>
          <w:sz w:val="24"/>
          <w:szCs w:val="24"/>
          <w:lang w:eastAsia="zh-CN" w:bidi="hi-IN"/>
        </w:rPr>
        <w:tab/>
      </w:r>
      <w:r w:rsidRPr="005B4DB0">
        <w:rPr>
          <w:rFonts w:ascii="Times New Roman" w:eastAsia="Noto Sans CJK SC Regular" w:hAnsi="Times New Roman" w:cs="Times New Roman"/>
          <w:kern w:val="2"/>
          <w:sz w:val="24"/>
          <w:szCs w:val="24"/>
          <w:lang w:eastAsia="zh-CN" w:bidi="hi-IN"/>
        </w:rPr>
        <w:t xml:space="preserve">Przedsięwzięcie nie jest również zlokalizowane w granicach obszarów objętych ochroną, na podstawie ustawy z dnia 16 kwietnia 2004 r. </w:t>
      </w:r>
      <w:r w:rsidRPr="005B4DB0">
        <w:rPr>
          <w:rFonts w:ascii="Times New Roman" w:eastAsia="Noto Sans CJK SC Regular" w:hAnsi="Times New Roman" w:cs="Times New Roman"/>
          <w:i/>
          <w:kern w:val="2"/>
          <w:sz w:val="24"/>
          <w:szCs w:val="24"/>
          <w:lang w:eastAsia="zh-CN" w:bidi="hi-IN"/>
        </w:rPr>
        <w:t>o ochronie przyrody</w:t>
      </w:r>
      <w:r w:rsidRPr="005B4DB0">
        <w:rPr>
          <w:rFonts w:ascii="Times New Roman" w:eastAsia="Noto Sans CJK SC Regular" w:hAnsi="Times New Roman" w:cs="Times New Roman"/>
          <w:kern w:val="2"/>
          <w:sz w:val="24"/>
          <w:szCs w:val="24"/>
          <w:lang w:eastAsia="zh-CN" w:bidi="hi-IN"/>
        </w:rPr>
        <w:t xml:space="preserve"> (Dz. U. z 2023 r., poz. 1336</w:t>
      </w:r>
      <w:r w:rsidR="005B4DB0" w:rsidRPr="005B4DB0">
        <w:rPr>
          <w:rFonts w:ascii="Times New Roman" w:eastAsia="Noto Sans CJK SC Regular" w:hAnsi="Times New Roman" w:cs="Times New Roman"/>
          <w:kern w:val="2"/>
          <w:sz w:val="24"/>
          <w:szCs w:val="24"/>
          <w:lang w:eastAsia="zh-CN" w:bidi="hi-IN"/>
        </w:rPr>
        <w:t xml:space="preserve"> z </w:t>
      </w:r>
      <w:proofErr w:type="spellStart"/>
      <w:r w:rsidR="005B4DB0" w:rsidRPr="005B4DB0">
        <w:rPr>
          <w:rFonts w:ascii="Times New Roman" w:eastAsia="Noto Sans CJK SC Regular" w:hAnsi="Times New Roman" w:cs="Times New Roman"/>
          <w:kern w:val="2"/>
          <w:sz w:val="24"/>
          <w:szCs w:val="24"/>
          <w:lang w:eastAsia="zh-CN" w:bidi="hi-IN"/>
        </w:rPr>
        <w:t>późn</w:t>
      </w:r>
      <w:proofErr w:type="spellEnd"/>
      <w:r w:rsidR="005B4DB0" w:rsidRPr="005B4DB0">
        <w:rPr>
          <w:rFonts w:ascii="Times New Roman" w:eastAsia="Noto Sans CJK SC Regular" w:hAnsi="Times New Roman" w:cs="Times New Roman"/>
          <w:kern w:val="2"/>
          <w:sz w:val="24"/>
          <w:szCs w:val="24"/>
          <w:lang w:eastAsia="zh-CN" w:bidi="hi-IN"/>
        </w:rPr>
        <w:t>. zm.</w:t>
      </w:r>
      <w:r w:rsidRPr="005B4DB0">
        <w:rPr>
          <w:rFonts w:ascii="Times New Roman" w:eastAsia="Noto Sans CJK SC Regular" w:hAnsi="Times New Roman" w:cs="Times New Roman"/>
          <w:kern w:val="2"/>
          <w:sz w:val="24"/>
          <w:szCs w:val="24"/>
          <w:lang w:eastAsia="zh-CN" w:bidi="hi-IN"/>
        </w:rPr>
        <w:t>), wymagających specjalnej ochrony ze względu na występowanie gatunków roślin, grzybów i zwierząt lub ich siedlisk, oraz siedlisk przyrodniczych   objętych ochroną, w tym obszarach sieci Natura 2000, i nie będzie oddziaływać na gatunki i siedliska tam chronione oraz nie spowoduje fragmentacji obszarów. Najbliżej położon</w:t>
      </w:r>
      <w:r w:rsidR="005B4DB0" w:rsidRPr="005B4DB0">
        <w:rPr>
          <w:rFonts w:ascii="Times New Roman" w:eastAsia="Noto Sans CJK SC Regular" w:hAnsi="Times New Roman" w:cs="Times New Roman"/>
          <w:kern w:val="2"/>
          <w:sz w:val="24"/>
          <w:szCs w:val="24"/>
          <w:lang w:eastAsia="zh-CN" w:bidi="hi-IN"/>
        </w:rPr>
        <w:t>ymi obszarami</w:t>
      </w:r>
      <w:r w:rsidRPr="005B4DB0">
        <w:rPr>
          <w:rFonts w:ascii="Times New Roman" w:eastAsia="Noto Sans CJK SC Regular" w:hAnsi="Times New Roman" w:cs="Times New Roman"/>
          <w:kern w:val="2"/>
          <w:sz w:val="24"/>
          <w:szCs w:val="24"/>
          <w:lang w:eastAsia="zh-CN" w:bidi="hi-IN"/>
        </w:rPr>
        <w:t xml:space="preserve"> ochrony przyrody</w:t>
      </w:r>
      <w:r w:rsidR="005B4DB0" w:rsidRPr="005B4DB0">
        <w:rPr>
          <w:rFonts w:ascii="Times New Roman" w:eastAsia="Noto Sans CJK SC Regular" w:hAnsi="Times New Roman" w:cs="Times New Roman"/>
          <w:kern w:val="2"/>
          <w:sz w:val="24"/>
          <w:szCs w:val="24"/>
          <w:lang w:eastAsia="zh-CN" w:bidi="hi-IN"/>
        </w:rPr>
        <w:t xml:space="preserve"> są: obszar chronionego krajobrazu „Dolina Brzeźnicy” oddalony ponad 1 km od planowanego przedsięwzięcia, a także obszar Natura 2000 Dolina Dolnego Bobru PLH080068 położony w odległości ponad 2,42 km od projektowanej farmy.</w:t>
      </w:r>
    </w:p>
    <w:p w14:paraId="11980FA5" w14:textId="44C65D8D" w:rsidR="00A42079" w:rsidRPr="005B4DB0" w:rsidRDefault="00A42079" w:rsidP="00A42079">
      <w:pPr>
        <w:shd w:val="clear" w:color="auto" w:fill="FFFFFF"/>
        <w:tabs>
          <w:tab w:val="left" w:pos="0"/>
        </w:tabs>
        <w:spacing w:before="120" w:after="0" w:line="240" w:lineRule="auto"/>
        <w:ind w:right="-11"/>
        <w:jc w:val="both"/>
        <w:rPr>
          <w:rFonts w:ascii="Times New Roman" w:eastAsia="Noto Sans CJK SC Regular" w:hAnsi="Times New Roman" w:cs="Times New Roman"/>
          <w:kern w:val="2"/>
          <w:sz w:val="24"/>
          <w:szCs w:val="24"/>
          <w:lang w:eastAsia="zh-CN" w:bidi="hi-IN"/>
        </w:rPr>
      </w:pPr>
      <w:r w:rsidRPr="005B4DB0">
        <w:rPr>
          <w:rFonts w:ascii="Times New Roman" w:eastAsia="Noto Sans CJK SC Regular" w:hAnsi="Times New Roman" w:cs="Times New Roman"/>
          <w:kern w:val="2"/>
          <w:sz w:val="24"/>
          <w:szCs w:val="24"/>
          <w:lang w:eastAsia="zh-CN" w:bidi="hi-IN"/>
        </w:rPr>
        <w:tab/>
        <w:t xml:space="preserve">Inwestycja zlokalizowana </w:t>
      </w:r>
      <w:r w:rsidR="005B4DB0" w:rsidRPr="005B4DB0">
        <w:rPr>
          <w:rFonts w:ascii="Times New Roman" w:eastAsia="Noto Sans CJK SC Regular" w:hAnsi="Times New Roman" w:cs="Times New Roman"/>
          <w:kern w:val="2"/>
          <w:sz w:val="24"/>
          <w:szCs w:val="24"/>
          <w:lang w:eastAsia="zh-CN" w:bidi="hi-IN"/>
        </w:rPr>
        <w:t>będzie w obszarze projektowanego korytarza ekologicznego Zielona Góra, którego granice są obecnie aktualizowane, weryfikowane i ustalane w oparciu o dane, których dysponentem jest Generalny Dyrektor Ochrony Środowiska.</w:t>
      </w:r>
    </w:p>
    <w:p w14:paraId="119CF939" w14:textId="2945B2A8" w:rsidR="00A42079" w:rsidRPr="005B4DB0" w:rsidRDefault="00A42079" w:rsidP="00A42079">
      <w:pPr>
        <w:spacing w:after="0" w:line="240" w:lineRule="auto"/>
        <w:jc w:val="both"/>
        <w:rPr>
          <w:rFonts w:ascii="Times New Roman" w:eastAsia="Noto Sans CJK SC Regular" w:hAnsi="Times New Roman" w:cs="Lohit Devanagari"/>
          <w:kern w:val="2"/>
          <w:sz w:val="24"/>
          <w:szCs w:val="24"/>
          <w:lang w:eastAsia="zh-CN" w:bidi="hi-IN"/>
        </w:rPr>
      </w:pPr>
      <w:r w:rsidRPr="005B4DB0">
        <w:rPr>
          <w:rFonts w:ascii="Times New Roman" w:eastAsia="Noto Sans CJK SC Regular" w:hAnsi="Times New Roman" w:cs="Lohit Devanagari"/>
          <w:kern w:val="2"/>
          <w:sz w:val="24"/>
          <w:szCs w:val="24"/>
          <w:lang w:eastAsia="zh-CN" w:bidi="hi-IN"/>
        </w:rPr>
        <w:tab/>
        <w:t>Przedsięwzięcie związane jest z wykorzystywaniem energii słonecznej, zatem zalicza się do odnawialnych źródeł energii. Tym samym wpisuje się w trend ograniczania zużycia paliw kopalnych, a w konsekwencji wpływu na spowolnienie ewentualnych zmian klimatu. Inwestycja zlokalizowana będzie na terenie użytkowanym przez człowieka. Przedsięwzięcie nie będzie źródłem emisji gazów cieplarnianych. Inwestycja nie spowoduje także zajęcia terenów zdolnych do pochłaniania tego rodzaju gazów. Podobnie nie wpłynie na możliwość retencji wód powodziowych na tych terenach. Z tych samych względów nie wpłynie ona na różnorodność biologiczną na tym obszarze.</w:t>
      </w:r>
      <w:r w:rsidR="005B4DB0" w:rsidRPr="005B4DB0">
        <w:rPr>
          <w:rFonts w:ascii="Times New Roman" w:eastAsia="Noto Sans CJK SC Regular" w:hAnsi="Times New Roman" w:cs="Lohit Devanagari"/>
          <w:kern w:val="2"/>
          <w:sz w:val="24"/>
          <w:szCs w:val="24"/>
          <w:lang w:eastAsia="zh-CN" w:bidi="hi-IN"/>
        </w:rPr>
        <w:t xml:space="preserve"> Pomimo lokalizacji inwestycji w granicach korytarza ekologicznego, ze względu ma skalę planowanej inwestycji, nie wpłynie ona na ograniczenie migracji zwierząt. Biorąc pod uwagę całkowitą wysokość instalacji ( z reguły do 5m) nie będzie ona stanowiła także dominanty krajobrazowej.</w:t>
      </w:r>
    </w:p>
    <w:p w14:paraId="4E11AFBC" w14:textId="19F68806" w:rsidR="00A42079" w:rsidRPr="00A42079" w:rsidRDefault="00A42079" w:rsidP="00A42079">
      <w:pPr>
        <w:spacing w:after="0" w:line="240" w:lineRule="auto"/>
        <w:jc w:val="both"/>
        <w:rPr>
          <w:rFonts w:ascii="Times New Roman" w:eastAsia="Noto Sans CJK SC Regular" w:hAnsi="Times New Roman"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760231">
        <w:rPr>
          <w:rFonts w:ascii="Times New Roman" w:eastAsia="Noto Sans CJK SC Regular" w:hAnsi="Times New Roman" w:cs="Lohit Devanagari"/>
          <w:kern w:val="2"/>
          <w:sz w:val="24"/>
          <w:szCs w:val="24"/>
          <w:lang w:eastAsia="zh-CN" w:bidi="hi-IN"/>
        </w:rPr>
        <w:t xml:space="preserve">Odnosząc się do art. 63 ust. 1 pkt 2 ustawy </w:t>
      </w:r>
      <w:proofErr w:type="spellStart"/>
      <w:r w:rsidRPr="00760231">
        <w:rPr>
          <w:rFonts w:ascii="Times New Roman" w:eastAsia="Noto Sans CJK SC Regular" w:hAnsi="Times New Roman" w:cs="Lohit Devanagari"/>
          <w:kern w:val="2"/>
          <w:sz w:val="24"/>
          <w:szCs w:val="24"/>
          <w:lang w:eastAsia="zh-CN" w:bidi="hi-IN"/>
        </w:rPr>
        <w:t>ooś</w:t>
      </w:r>
      <w:proofErr w:type="spellEnd"/>
      <w:r w:rsidRPr="00760231">
        <w:rPr>
          <w:rFonts w:ascii="Times New Roman" w:eastAsia="Noto Sans CJK SC Regular" w:hAnsi="Times New Roman" w:cs="Lohit Devanagari"/>
          <w:kern w:val="2"/>
          <w:sz w:val="24"/>
          <w:szCs w:val="24"/>
          <w:lang w:eastAsia="zh-CN" w:bidi="hi-IN"/>
        </w:rPr>
        <w:t xml:space="preserve">, na podstawie przedstawionych materiałów stwierdzono, że </w:t>
      </w:r>
      <w:r w:rsidR="00760231" w:rsidRPr="00760231">
        <w:rPr>
          <w:rFonts w:ascii="Times New Roman" w:eastAsia="Noto Sans CJK SC Regular" w:hAnsi="Times New Roman" w:cs="Lohit Devanagari"/>
          <w:kern w:val="2"/>
          <w:sz w:val="24"/>
          <w:szCs w:val="24"/>
          <w:lang w:eastAsia="zh-CN" w:bidi="hi-IN"/>
        </w:rPr>
        <w:t xml:space="preserve"> projektowana</w:t>
      </w:r>
      <w:r w:rsidR="00760231">
        <w:rPr>
          <w:rFonts w:ascii="Times New Roman" w:eastAsia="Noto Sans CJK SC Regular" w:hAnsi="Times New Roman" w:cs="Lohit Devanagari"/>
          <w:color w:val="FF0000"/>
          <w:kern w:val="2"/>
          <w:sz w:val="24"/>
          <w:szCs w:val="24"/>
          <w:lang w:eastAsia="zh-CN" w:bidi="hi-IN"/>
        </w:rPr>
        <w:t xml:space="preserve"> </w:t>
      </w:r>
      <w:r w:rsidR="00760231" w:rsidRPr="00760231">
        <w:rPr>
          <w:rFonts w:ascii="Times New Roman" w:eastAsia="Noto Sans CJK SC Regular" w:hAnsi="Times New Roman" w:cs="Lohit Devanagari"/>
          <w:kern w:val="2"/>
          <w:sz w:val="24"/>
          <w:szCs w:val="24"/>
          <w:lang w:eastAsia="zh-CN" w:bidi="hi-IN"/>
        </w:rPr>
        <w:t>inwestycja</w:t>
      </w:r>
      <w:r w:rsidR="00760231">
        <w:rPr>
          <w:rFonts w:ascii="Times New Roman" w:eastAsia="Noto Sans CJK SC Regular" w:hAnsi="Times New Roman" w:cs="Lohit Devanagari"/>
          <w:color w:val="FF0000"/>
          <w:kern w:val="2"/>
          <w:sz w:val="24"/>
          <w:szCs w:val="24"/>
          <w:lang w:eastAsia="zh-CN" w:bidi="hi-IN"/>
        </w:rPr>
        <w:t xml:space="preserve"> </w:t>
      </w:r>
      <w:r w:rsidR="00760231">
        <w:rPr>
          <w:rFonts w:ascii="Times New Roman" w:eastAsia="Noto Sans CJK SC Regular" w:hAnsi="Times New Roman" w:cs="Lohit Devanagari"/>
          <w:kern w:val="2"/>
          <w:sz w:val="24"/>
          <w:szCs w:val="24"/>
          <w:lang w:eastAsia="zh-CN" w:bidi="hi-IN"/>
        </w:rPr>
        <w:t>zlokalizowana jest w granicy jednostki planistycznej gospodarowania wodami jednolitej części wód powierzchniowych (JCWP) tj. Brzeźnica od Szumu do Bobru o kodzie</w:t>
      </w:r>
      <w:r w:rsidR="00760231">
        <w:rPr>
          <w:rFonts w:ascii="Times New Roman" w:eastAsia="Noto Sans CJK SC Regular" w:hAnsi="Times New Roman" w:cs="Lohit Devanagari"/>
          <w:color w:val="FF0000"/>
          <w:kern w:val="2"/>
          <w:sz w:val="24"/>
          <w:szCs w:val="24"/>
          <w:lang w:eastAsia="zh-CN" w:bidi="hi-IN"/>
        </w:rPr>
        <w:t xml:space="preserve"> </w:t>
      </w:r>
      <w:r w:rsidRPr="00760231">
        <w:rPr>
          <w:rFonts w:ascii="Times New Roman" w:eastAsia="Noto Sans CJK SC Regular" w:hAnsi="Times New Roman" w:cs="Lohit Devanagari"/>
          <w:kern w:val="2"/>
          <w:sz w:val="24"/>
          <w:szCs w:val="24"/>
          <w:lang w:eastAsia="zh-CN" w:bidi="hi-IN"/>
        </w:rPr>
        <w:t>PLRW</w:t>
      </w:r>
      <w:r w:rsidRPr="008C6C12">
        <w:rPr>
          <w:rFonts w:ascii="Times New Roman" w:eastAsia="Noto Sans CJK SC Regular" w:hAnsi="Times New Roman" w:cs="Lohit Devanagari"/>
          <w:kern w:val="2"/>
          <w:sz w:val="24"/>
          <w:szCs w:val="24"/>
          <w:lang w:eastAsia="zh-CN" w:bidi="hi-IN"/>
        </w:rPr>
        <w:t>600011169299. Zgodnie z zapisami Planu gospodarowania wodami na obszarze dorzecza Odry (Dz. U. z 2023 r. poz. 335) JCWP Brzeźnica od Szumu do Bobru została oceniona jako naturalna o złym stanie ogólnym</w:t>
      </w:r>
      <w:r w:rsidR="008C6C12" w:rsidRPr="008C6C12">
        <w:rPr>
          <w:rFonts w:ascii="Times New Roman" w:eastAsia="Noto Sans CJK SC Regular" w:hAnsi="Times New Roman" w:cs="Lohit Devanagari"/>
          <w:kern w:val="2"/>
          <w:sz w:val="24"/>
          <w:szCs w:val="24"/>
          <w:lang w:eastAsia="zh-CN" w:bidi="hi-IN"/>
        </w:rPr>
        <w:t xml:space="preserve">, </w:t>
      </w:r>
      <w:r w:rsidRPr="008C6C12">
        <w:rPr>
          <w:rFonts w:ascii="Times New Roman" w:eastAsia="Noto Sans CJK SC Regular" w:hAnsi="Times New Roman" w:cs="Lohit Devanagari"/>
          <w:kern w:val="2"/>
          <w:sz w:val="24"/>
          <w:szCs w:val="24"/>
          <w:lang w:eastAsia="zh-CN" w:bidi="hi-IN"/>
        </w:rPr>
        <w:t xml:space="preserve">zagrożona nieosiągnięciem celu środowiskowego, jakim jest dobry stan ekologiczny; zapewnienie drożności cieku dla migracji ichtiofauny o ile jest monitorowany wskaźnik </w:t>
      </w:r>
      <w:proofErr w:type="spellStart"/>
      <w:r w:rsidRPr="008C6C12">
        <w:rPr>
          <w:rFonts w:ascii="Times New Roman" w:eastAsia="Noto Sans CJK SC Regular" w:hAnsi="Times New Roman" w:cs="Lohit Devanagari"/>
          <w:kern w:val="2"/>
          <w:sz w:val="24"/>
          <w:szCs w:val="24"/>
          <w:lang w:eastAsia="zh-CN" w:bidi="hi-IN"/>
        </w:rPr>
        <w:t>diadromiczny</w:t>
      </w:r>
      <w:proofErr w:type="spellEnd"/>
      <w:r w:rsidRPr="008C6C12">
        <w:rPr>
          <w:rFonts w:ascii="Times New Roman" w:eastAsia="Noto Sans CJK SC Regular" w:hAnsi="Times New Roman" w:cs="Lohit Devanagari"/>
          <w:kern w:val="2"/>
          <w:sz w:val="24"/>
          <w:szCs w:val="24"/>
          <w:lang w:eastAsia="zh-CN" w:bidi="hi-IN"/>
        </w:rPr>
        <w:t xml:space="preserve"> D </w:t>
      </w:r>
      <w:r w:rsidR="008C6C12" w:rsidRPr="008C6C12">
        <w:rPr>
          <w:rFonts w:ascii="Times New Roman" w:eastAsia="Noto Sans CJK SC Regular" w:hAnsi="Times New Roman" w:cs="Lohit Devanagari"/>
          <w:kern w:val="2"/>
          <w:sz w:val="24"/>
          <w:szCs w:val="24"/>
          <w:lang w:eastAsia="zh-CN" w:bidi="hi-IN"/>
        </w:rPr>
        <w:t>oraz</w:t>
      </w:r>
      <w:r w:rsidRPr="008C6C12">
        <w:rPr>
          <w:rFonts w:ascii="Times New Roman" w:eastAsia="Noto Sans CJK SC Regular" w:hAnsi="Times New Roman" w:cs="Lohit Devanagari"/>
          <w:kern w:val="2"/>
          <w:sz w:val="24"/>
          <w:szCs w:val="24"/>
          <w:lang w:eastAsia="zh-CN" w:bidi="hi-IN"/>
        </w:rPr>
        <w:t xml:space="preserve"> stan chemiczny: dla złagodzonych wskaźników [</w:t>
      </w:r>
      <w:proofErr w:type="spellStart"/>
      <w:r w:rsidRPr="008C6C12">
        <w:rPr>
          <w:rFonts w:ascii="Times New Roman" w:eastAsia="Noto Sans CJK SC Regular" w:hAnsi="Times New Roman" w:cs="Lohit Devanagari"/>
          <w:kern w:val="2"/>
          <w:sz w:val="24"/>
          <w:szCs w:val="24"/>
          <w:lang w:eastAsia="zh-CN" w:bidi="hi-IN"/>
        </w:rPr>
        <w:t>benzo</w:t>
      </w:r>
      <w:proofErr w:type="spellEnd"/>
      <w:r w:rsidRPr="008C6C12">
        <w:rPr>
          <w:rFonts w:ascii="Times New Roman" w:eastAsia="Noto Sans CJK SC Regular" w:hAnsi="Times New Roman" w:cs="Lohit Devanagari"/>
          <w:kern w:val="2"/>
          <w:sz w:val="24"/>
          <w:szCs w:val="24"/>
          <w:lang w:eastAsia="zh-CN" w:bidi="hi-IN"/>
        </w:rPr>
        <w:t>(a)</w:t>
      </w:r>
      <w:proofErr w:type="spellStart"/>
      <w:r w:rsidRPr="008C6C12">
        <w:rPr>
          <w:rFonts w:ascii="Times New Roman" w:eastAsia="Noto Sans CJK SC Regular" w:hAnsi="Times New Roman" w:cs="Lohit Devanagari"/>
          <w:kern w:val="2"/>
          <w:sz w:val="24"/>
          <w:szCs w:val="24"/>
          <w:lang w:eastAsia="zh-CN" w:bidi="hi-IN"/>
        </w:rPr>
        <w:t>piren</w:t>
      </w:r>
      <w:proofErr w:type="spellEnd"/>
      <w:r w:rsidRPr="008C6C12">
        <w:rPr>
          <w:rFonts w:ascii="Times New Roman" w:eastAsia="Noto Sans CJK SC Regular" w:hAnsi="Times New Roman" w:cs="Lohit Devanagari"/>
          <w:kern w:val="2"/>
          <w:sz w:val="24"/>
          <w:szCs w:val="24"/>
          <w:lang w:eastAsia="zh-CN" w:bidi="hi-IN"/>
        </w:rPr>
        <w:t>(w)] poniżej stanu dobrego, dla pozostałych wskaźników – stan dobry.</w:t>
      </w:r>
    </w:p>
    <w:p w14:paraId="178FA9B3" w14:textId="77777777" w:rsidR="00A42079" w:rsidRPr="00A42079" w:rsidRDefault="00A42079" w:rsidP="00A42079">
      <w:pPr>
        <w:spacing w:after="0" w:line="240" w:lineRule="auto"/>
        <w:jc w:val="both"/>
        <w:rPr>
          <w:rFonts w:ascii="Times New Roman" w:eastAsia="Noto Sans CJK SC Regular" w:hAnsi="Times New Roman"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8C6C12">
        <w:rPr>
          <w:rFonts w:ascii="Times New Roman" w:eastAsia="Noto Sans CJK SC Regular" w:hAnsi="Times New Roman" w:cs="Lohit Devanagari"/>
          <w:kern w:val="2"/>
          <w:sz w:val="24"/>
          <w:szCs w:val="24"/>
          <w:lang w:eastAsia="zh-CN" w:bidi="hi-IN"/>
        </w:rPr>
        <w:t>Przedmiotowy obszar inwestycji znajduje się na obszarze jednolitej części wód podziemnych (</w:t>
      </w:r>
      <w:proofErr w:type="spellStart"/>
      <w:r w:rsidRPr="008C6C12">
        <w:rPr>
          <w:rFonts w:ascii="Times New Roman" w:eastAsia="Noto Sans CJK SC Regular" w:hAnsi="Times New Roman" w:cs="Lohit Devanagari"/>
          <w:kern w:val="2"/>
          <w:sz w:val="24"/>
          <w:szCs w:val="24"/>
          <w:lang w:eastAsia="zh-CN" w:bidi="hi-IN"/>
        </w:rPr>
        <w:t>JCWPd</w:t>
      </w:r>
      <w:proofErr w:type="spellEnd"/>
      <w:r w:rsidRPr="008C6C12">
        <w:rPr>
          <w:rFonts w:ascii="Times New Roman" w:eastAsia="Noto Sans CJK SC Regular" w:hAnsi="Times New Roman" w:cs="Lohit Devanagari"/>
          <w:kern w:val="2"/>
          <w:sz w:val="24"/>
          <w:szCs w:val="24"/>
          <w:lang w:eastAsia="zh-CN" w:bidi="hi-IN"/>
        </w:rPr>
        <w:t xml:space="preserve">) nr 77 o kodzie PLGW600077, która charakteryzuje się dobrym stanem ilościowym i dobrym stanem chemicznym. </w:t>
      </w:r>
      <w:proofErr w:type="spellStart"/>
      <w:r w:rsidRPr="008C6C12">
        <w:rPr>
          <w:rFonts w:ascii="Times New Roman" w:eastAsia="Noto Sans CJK SC Regular" w:hAnsi="Times New Roman" w:cs="Lohit Devanagari"/>
          <w:kern w:val="2"/>
          <w:sz w:val="24"/>
          <w:szCs w:val="24"/>
          <w:lang w:eastAsia="zh-CN" w:bidi="hi-IN"/>
        </w:rPr>
        <w:t>JCWPd</w:t>
      </w:r>
      <w:proofErr w:type="spellEnd"/>
      <w:r w:rsidRPr="008C6C12">
        <w:rPr>
          <w:rFonts w:ascii="Times New Roman" w:eastAsia="Noto Sans CJK SC Regular" w:hAnsi="Times New Roman" w:cs="Lohit Devanagari"/>
          <w:kern w:val="2"/>
          <w:sz w:val="24"/>
          <w:szCs w:val="24"/>
          <w:lang w:eastAsia="zh-CN" w:bidi="hi-IN"/>
        </w:rPr>
        <w:t xml:space="preserve"> została oceniona jako niezagrożona nieosiągnięciem celu środowiskowego, jakim jest dobry stan ilościowy i chemiczny.  </w:t>
      </w:r>
    </w:p>
    <w:p w14:paraId="7D6DE8CD" w14:textId="77777777" w:rsidR="00A42079" w:rsidRDefault="00A42079" w:rsidP="00A42079">
      <w:pPr>
        <w:spacing w:after="0" w:line="240" w:lineRule="auto"/>
        <w:jc w:val="both"/>
        <w:rPr>
          <w:rFonts w:ascii="Times New Roman" w:eastAsia="Noto Sans CJK SC Regular" w:hAnsi="Times New Roman"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lastRenderedPageBreak/>
        <w:tab/>
      </w:r>
      <w:r w:rsidRPr="008C6C12">
        <w:rPr>
          <w:rFonts w:ascii="Times New Roman" w:eastAsia="Noto Sans CJK SC Regular" w:hAnsi="Times New Roman" w:cs="Lohit Devanagari"/>
          <w:kern w:val="2"/>
          <w:sz w:val="24"/>
          <w:szCs w:val="24"/>
          <w:lang w:eastAsia="zh-CN" w:bidi="hi-IN"/>
        </w:rPr>
        <w:t xml:space="preserve">Teren planowanej inwestycji nie znajduje się na obszarze Głównego Zbiornika Wód Podziemnych (GZWP). Nie znajduje się w obrębie strefy ochronnej ujęcia wody ani na obszarach narażonych na niebezpieczeństwo powodzi. </w:t>
      </w:r>
    </w:p>
    <w:p w14:paraId="07904AAE" w14:textId="7CE31D9C" w:rsidR="005B4DB0" w:rsidRPr="005B4DB0" w:rsidRDefault="005B4DB0" w:rsidP="00A42079">
      <w:pPr>
        <w:spacing w:after="0" w:line="240" w:lineRule="auto"/>
        <w:jc w:val="both"/>
        <w:rPr>
          <w:rFonts w:ascii="Times New Roman" w:eastAsia="Noto Sans CJK SC Regular" w:hAnsi="Times New Roman" w:cs="Lohit Devanagari"/>
          <w:kern w:val="2"/>
          <w:sz w:val="24"/>
          <w:szCs w:val="24"/>
          <w:lang w:eastAsia="zh-CN" w:bidi="hi-IN"/>
        </w:rPr>
      </w:pPr>
      <w:r>
        <w:rPr>
          <w:rFonts w:ascii="Times New Roman" w:eastAsia="Noto Sans CJK SC Regular" w:hAnsi="Times New Roman" w:cs="Lohit Devanagari"/>
          <w:color w:val="FF0000"/>
          <w:kern w:val="2"/>
          <w:sz w:val="24"/>
          <w:szCs w:val="24"/>
          <w:lang w:eastAsia="zh-CN" w:bidi="hi-IN"/>
        </w:rPr>
        <w:tab/>
      </w:r>
      <w:r w:rsidR="001C5F8B">
        <w:rPr>
          <w:rFonts w:ascii="Times New Roman" w:eastAsia="Noto Sans CJK SC Regular" w:hAnsi="Times New Roman" w:cs="Lohit Devanagari"/>
          <w:kern w:val="2"/>
          <w:sz w:val="24"/>
          <w:szCs w:val="24"/>
          <w:lang w:eastAsia="zh-CN" w:bidi="hi-IN"/>
        </w:rPr>
        <w:t>Ze względu n</w:t>
      </w:r>
      <w:r>
        <w:rPr>
          <w:rFonts w:ascii="Times New Roman" w:eastAsia="Noto Sans CJK SC Regular" w:hAnsi="Times New Roman" w:cs="Lohit Devanagari"/>
          <w:kern w:val="2"/>
          <w:sz w:val="24"/>
          <w:szCs w:val="24"/>
          <w:lang w:eastAsia="zh-CN" w:bidi="hi-IN"/>
        </w:rPr>
        <w:t>a zakres i oddziaływanie ograniczone do terenu lokalizacji, projektowana inwestycja nie będzie w sposób skumulowany oddziaływać na środowisko z innymi przedsięwzięciami- projektowanymi w obrębie Drągowina. Elektrownia związana jest z wykorzystaniem zasobów naturalnych – energii słonecznej.</w:t>
      </w:r>
    </w:p>
    <w:p w14:paraId="7C890A30" w14:textId="77777777" w:rsidR="00A42079" w:rsidRPr="00A42079" w:rsidRDefault="00A42079" w:rsidP="00A42079">
      <w:pPr>
        <w:spacing w:after="0" w:line="240" w:lineRule="auto"/>
        <w:jc w:val="both"/>
        <w:rPr>
          <w:rFonts w:ascii="Times New Roman" w:eastAsia="Noto Sans CJK SC Regular" w:hAnsi="Times New Roman"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5B4DB0">
        <w:rPr>
          <w:rFonts w:ascii="Times New Roman" w:eastAsia="Noto Sans CJK SC Regular" w:hAnsi="Times New Roman" w:cs="Lohit Devanagari"/>
          <w:kern w:val="2"/>
          <w:sz w:val="24"/>
          <w:szCs w:val="24"/>
          <w:lang w:eastAsia="zh-CN" w:bidi="hi-IN"/>
        </w:rPr>
        <w:t xml:space="preserve">Biorąc pod uwagę zakres, jak i rodzaj przedsięwzięcia, odnosząc się do zapisów w art. 63 ust. 1 pkt 3 lit. b ustawy </w:t>
      </w:r>
      <w:proofErr w:type="spellStart"/>
      <w:r w:rsidRPr="005B4DB0">
        <w:rPr>
          <w:rFonts w:ascii="Times New Roman" w:eastAsia="Noto Sans CJK SC Regular" w:hAnsi="Times New Roman" w:cs="Lohit Devanagari"/>
          <w:kern w:val="2"/>
          <w:sz w:val="24"/>
          <w:szCs w:val="24"/>
          <w:lang w:eastAsia="zh-CN" w:bidi="hi-IN"/>
        </w:rPr>
        <w:t>ooś</w:t>
      </w:r>
      <w:proofErr w:type="spellEnd"/>
      <w:r w:rsidRPr="005B4DB0">
        <w:rPr>
          <w:rFonts w:ascii="Times New Roman" w:eastAsia="Noto Sans CJK SC Regular" w:hAnsi="Times New Roman" w:cs="Lohit Devanagari"/>
          <w:kern w:val="2"/>
          <w:sz w:val="24"/>
          <w:szCs w:val="24"/>
          <w:lang w:eastAsia="zh-CN" w:bidi="hi-IN"/>
        </w:rPr>
        <w:t xml:space="preserve"> należy uznać, że realizacja wnioskowanej inwestycji nie pociągnie za sobą zagrożeń dla środowiska i nie będzie powodowała transgranicznego oddziaływania.</w:t>
      </w:r>
    </w:p>
    <w:p w14:paraId="40C58D67" w14:textId="52559E16" w:rsidR="005B4DB0" w:rsidRPr="001C5F8B" w:rsidRDefault="00A42079" w:rsidP="00A42079">
      <w:pPr>
        <w:spacing w:after="0" w:line="240" w:lineRule="auto"/>
        <w:jc w:val="both"/>
        <w:rPr>
          <w:rFonts w:ascii="Times New Roman" w:eastAsia="Noto Sans CJK SC Regular" w:hAnsi="Times New Roman" w:cs="Lohit Devanagari"/>
          <w:color w:val="FF0000"/>
          <w:kern w:val="2"/>
          <w:sz w:val="24"/>
          <w:szCs w:val="24"/>
          <w:lang w:eastAsia="zh-CN" w:bidi="hi-IN"/>
        </w:rPr>
      </w:pPr>
      <w:r w:rsidRPr="00A42079">
        <w:rPr>
          <w:rFonts w:ascii="Times New Roman" w:eastAsia="Noto Sans CJK SC Regular" w:hAnsi="Times New Roman" w:cs="Lohit Devanagari"/>
          <w:color w:val="FF0000"/>
          <w:kern w:val="2"/>
          <w:sz w:val="24"/>
          <w:szCs w:val="24"/>
          <w:lang w:eastAsia="zh-CN" w:bidi="hi-IN"/>
        </w:rPr>
        <w:tab/>
      </w:r>
      <w:r w:rsidRPr="00760231">
        <w:rPr>
          <w:rFonts w:ascii="Times New Roman" w:eastAsia="Noto Sans CJK SC Regular" w:hAnsi="Times New Roman" w:cs="Lohit Devanagari"/>
          <w:kern w:val="2"/>
          <w:sz w:val="24"/>
          <w:szCs w:val="24"/>
          <w:lang w:eastAsia="zh-CN" w:bidi="hi-IN"/>
        </w:rPr>
        <w:t xml:space="preserve">Przedsięwzięcie nie zalicza się do zakładów stwarzających zagrożenie wystąpienia poważnej awarii przemysłowej, w rozumieniu art. 248 ustawy z dnia 27 kwietnia 2001 r. Prawo ochrony środowiska (Dz. U. z 2022 r., poz. 2556 z </w:t>
      </w:r>
      <w:proofErr w:type="spellStart"/>
      <w:r w:rsidRPr="00760231">
        <w:rPr>
          <w:rFonts w:ascii="Times New Roman" w:eastAsia="Noto Sans CJK SC Regular" w:hAnsi="Times New Roman" w:cs="Lohit Devanagari"/>
          <w:kern w:val="2"/>
          <w:sz w:val="24"/>
          <w:szCs w:val="24"/>
          <w:lang w:eastAsia="zh-CN" w:bidi="hi-IN"/>
        </w:rPr>
        <w:t>późn</w:t>
      </w:r>
      <w:proofErr w:type="spellEnd"/>
      <w:r w:rsidRPr="00760231">
        <w:rPr>
          <w:rFonts w:ascii="Times New Roman" w:eastAsia="Noto Sans CJK SC Regular" w:hAnsi="Times New Roman" w:cs="Lohit Devanagari"/>
          <w:kern w:val="2"/>
          <w:sz w:val="24"/>
          <w:szCs w:val="24"/>
          <w:lang w:eastAsia="zh-CN" w:bidi="hi-IN"/>
        </w:rPr>
        <w:t xml:space="preserve">. zm.), nie występuje też w wykazie obiektów, wymienionych w art. 135 ust. 1 ww. cytowanej ustawy, dla których mogą być tworzone obszary ograniczonego użytkowania. </w:t>
      </w:r>
      <w:r w:rsidR="00760231" w:rsidRPr="00760231">
        <w:rPr>
          <w:rFonts w:ascii="Times New Roman" w:eastAsia="Noto Sans CJK SC Regular" w:hAnsi="Times New Roman" w:cs="Lohit Devanagari"/>
          <w:kern w:val="2"/>
          <w:sz w:val="24"/>
          <w:szCs w:val="24"/>
          <w:lang w:eastAsia="zh-CN" w:bidi="hi-IN"/>
        </w:rPr>
        <w:t>Ewentualne oddziaływania, choć mogą być długotrwałe, to będą miały zasięg lokalny i mało znaczący.</w:t>
      </w:r>
    </w:p>
    <w:p w14:paraId="59ED15A3" w14:textId="77777777" w:rsidR="00A42079" w:rsidRPr="00760231" w:rsidRDefault="00A42079" w:rsidP="00A42079">
      <w:pPr>
        <w:spacing w:after="0" w:line="240" w:lineRule="auto"/>
        <w:ind w:firstLine="708"/>
        <w:jc w:val="both"/>
        <w:rPr>
          <w:rFonts w:ascii="Liberation Serif" w:eastAsia="Noto Sans CJK SC Regular" w:hAnsi="Liberation Serif" w:cs="Lohit Devanagari"/>
          <w:kern w:val="2"/>
          <w:sz w:val="24"/>
          <w:szCs w:val="24"/>
          <w:lang w:eastAsia="zh-CN" w:bidi="hi-IN"/>
        </w:rPr>
      </w:pPr>
      <w:r w:rsidRPr="00760231">
        <w:rPr>
          <w:rFonts w:ascii="Times New Roman" w:eastAsia="Noto Sans CJK SC Regular" w:hAnsi="Times New Roman" w:cs="Lohit Devanagari"/>
          <w:kern w:val="2"/>
          <w:sz w:val="24"/>
          <w:szCs w:val="24"/>
          <w:lang w:eastAsia="zh-CN" w:bidi="hi-IN"/>
        </w:rPr>
        <w:t xml:space="preserve">Po zapoznaniu się z wnioskiem, kartą informacyjną przedsięwzięcia oraz szczegółowym prześledzeniem nie tylko bezpośrednich ale i pośrednich skutków działań przedmiotowego przedsięwzięcia, uwzględniając opinie dotyczące oddziaływania inwestycji typu elektrownia fotowoltaiczna, zważywszy na uwarunkowania określone w art. 63 ust. 1 ustawy </w:t>
      </w:r>
      <w:proofErr w:type="spellStart"/>
      <w:r w:rsidRPr="00760231">
        <w:rPr>
          <w:rFonts w:ascii="Times New Roman" w:eastAsia="Noto Sans CJK SC Regular" w:hAnsi="Times New Roman" w:cs="Lohit Devanagari"/>
          <w:kern w:val="2"/>
          <w:sz w:val="24"/>
          <w:szCs w:val="24"/>
          <w:lang w:eastAsia="zh-CN" w:bidi="hi-IN"/>
        </w:rPr>
        <w:t>ooś</w:t>
      </w:r>
      <w:proofErr w:type="spellEnd"/>
      <w:r w:rsidRPr="00760231">
        <w:rPr>
          <w:rFonts w:ascii="Times New Roman" w:eastAsia="Noto Sans CJK SC Regular" w:hAnsi="Times New Roman" w:cs="Lohit Devanagari"/>
          <w:kern w:val="2"/>
          <w:sz w:val="24"/>
          <w:szCs w:val="24"/>
          <w:lang w:eastAsia="zh-CN" w:bidi="hi-IN"/>
        </w:rPr>
        <w:t>, biorąc pod uwagę zakres planowanego przedsięwzięcia, jego charakter, skalę i brak ponadnormatywnego oddziaływania na środowisko, jak również brak negatywnego wpływu na obszary wymagające specjalnej ochrony ze względu na występowanie gatunków roślin i zwierząt, ich siedlisk lub siedlisk przyrodniczych objętych ochroną, organ uznał, że nie ma potrzeby przeprowadzenia oceny oddziaływania wnioskowanego zamierzenia inwestycyjnego na środowisko.</w:t>
      </w:r>
    </w:p>
    <w:p w14:paraId="520AA7F6" w14:textId="77777777" w:rsidR="00544E49" w:rsidRDefault="00544E49" w:rsidP="00544E49">
      <w:pPr>
        <w:spacing w:after="0" w:line="240" w:lineRule="auto"/>
        <w:rPr>
          <w:rFonts w:ascii="Times New Roman" w:eastAsia="Noto Sans CJK SC Regular" w:hAnsi="Times New Roman" w:cs="Lohit Devanagari"/>
          <w:color w:val="FF0000"/>
          <w:kern w:val="2"/>
          <w:sz w:val="24"/>
          <w:szCs w:val="24"/>
          <w:lang w:eastAsia="zh-CN" w:bidi="hi-IN"/>
        </w:rPr>
      </w:pPr>
      <w:r>
        <w:rPr>
          <w:rFonts w:ascii="Times New Roman" w:eastAsia="Noto Sans CJK SC Regular" w:hAnsi="Times New Roman" w:cs="Lohit Devanagari"/>
          <w:color w:val="FF0000"/>
          <w:kern w:val="2"/>
          <w:sz w:val="24"/>
          <w:szCs w:val="24"/>
          <w:lang w:eastAsia="zh-CN" w:bidi="hi-IN"/>
        </w:rPr>
        <w:t xml:space="preserve">                     </w:t>
      </w:r>
    </w:p>
    <w:p w14:paraId="6B0D1D6B" w14:textId="4CF347B4" w:rsidR="00544E49" w:rsidRDefault="00544E49" w:rsidP="00544E49">
      <w:pPr>
        <w:spacing w:after="0" w:line="240" w:lineRule="auto"/>
        <w:rPr>
          <w:rFonts w:ascii="Liberation Serif" w:eastAsia="Noto Sans CJK SC Regular" w:hAnsi="Liberation Serif" w:cs="Lohit Devanagari"/>
          <w:kern w:val="2"/>
          <w:sz w:val="24"/>
          <w:szCs w:val="24"/>
          <w:lang w:eastAsia="zh-CN" w:bidi="hi-IN"/>
        </w:rPr>
      </w:pPr>
      <w:r>
        <w:rPr>
          <w:rFonts w:ascii="Times New Roman" w:eastAsia="Noto Sans CJK SC Regular" w:hAnsi="Times New Roman" w:cs="Lohit Devanagari"/>
          <w:kern w:val="2"/>
          <w:sz w:val="24"/>
          <w:szCs w:val="24"/>
          <w:lang w:eastAsia="zh-CN" w:bidi="hi-IN"/>
        </w:rPr>
        <w:t xml:space="preserve">                         </w:t>
      </w:r>
      <w:r w:rsidR="00A42079" w:rsidRPr="00760231">
        <w:rPr>
          <w:rFonts w:ascii="Times New Roman" w:eastAsia="Noto Sans CJK SC Regular" w:hAnsi="Times New Roman" w:cs="Lohit Devanagari"/>
          <w:kern w:val="2"/>
          <w:sz w:val="24"/>
          <w:szCs w:val="24"/>
          <w:lang w:eastAsia="zh-CN" w:bidi="hi-IN"/>
        </w:rPr>
        <w:t>W związku z powyższym, orzeczono jak w sentencji.</w:t>
      </w:r>
      <w:r>
        <w:rPr>
          <w:rFonts w:ascii="Times New Roman" w:eastAsia="Noto Sans CJK SC Regular" w:hAnsi="Times New Roman" w:cs="Lohit Devanagari"/>
          <w:kern w:val="2"/>
          <w:sz w:val="24"/>
          <w:szCs w:val="24"/>
          <w:lang w:eastAsia="zh-CN" w:bidi="hi-IN"/>
        </w:rPr>
        <w:t xml:space="preserve">                    </w:t>
      </w:r>
      <w:r>
        <w:rPr>
          <w:rFonts w:ascii="Liberation Serif" w:eastAsia="Noto Sans CJK SC Regular" w:hAnsi="Liberation Serif" w:cs="Lohit Devanagari"/>
          <w:kern w:val="2"/>
          <w:sz w:val="24"/>
          <w:szCs w:val="24"/>
          <w:lang w:eastAsia="zh-CN" w:bidi="hi-IN"/>
        </w:rPr>
        <w:t xml:space="preserve">                                                                                                  </w:t>
      </w:r>
      <w:r>
        <w:rPr>
          <w:rFonts w:ascii="Liberation Serif" w:eastAsia="Noto Sans CJK SC Regular" w:hAnsi="Liberation Serif" w:cs="Lohit Devanagari"/>
          <w:kern w:val="2"/>
          <w:sz w:val="24"/>
          <w:szCs w:val="24"/>
          <w:lang w:eastAsia="zh-CN" w:bidi="hi-IN"/>
        </w:rPr>
        <w:t xml:space="preserve">                   </w:t>
      </w:r>
    </w:p>
    <w:p w14:paraId="5BFB1250" w14:textId="030EE3F6" w:rsidR="00544E49" w:rsidRDefault="00544E49" w:rsidP="00544E49">
      <w:pPr>
        <w:spacing w:after="0" w:line="240" w:lineRule="auto"/>
        <w:jc w:val="center"/>
        <w:rPr>
          <w:rFonts w:ascii="Times New Roman" w:hAnsi="Times New Roman" w:cs="Times New Roman"/>
          <w:b/>
          <w:color w:val="FF0000"/>
        </w:rPr>
      </w:pPr>
      <w:r>
        <w:rPr>
          <w:rFonts w:ascii="Liberation Serif" w:eastAsia="Noto Sans CJK SC Regular" w:hAnsi="Liberation Serif" w:cs="Lohit Devanagari"/>
          <w:kern w:val="2"/>
          <w:sz w:val="24"/>
          <w:szCs w:val="24"/>
          <w:lang w:eastAsia="zh-CN" w:bidi="hi-IN"/>
        </w:rPr>
        <w:t xml:space="preserve">                                                                                                          </w:t>
      </w:r>
      <w:r>
        <w:rPr>
          <w:rFonts w:ascii="Times New Roman" w:hAnsi="Times New Roman" w:cs="Times New Roman"/>
          <w:b/>
          <w:color w:val="FF0000"/>
        </w:rPr>
        <w:t>Z up. Burmistrza</w:t>
      </w:r>
    </w:p>
    <w:p w14:paraId="49FA7369" w14:textId="4A877565" w:rsidR="00544E49" w:rsidRDefault="00544E49" w:rsidP="00544E49">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w:t>
      </w:r>
      <w:r>
        <w:rPr>
          <w:rFonts w:ascii="Times New Roman" w:hAnsi="Times New Roman" w:cs="Times New Roman"/>
          <w:b/>
          <w:color w:val="FF0000"/>
        </w:rPr>
        <w:t xml:space="preserve"> </w:t>
      </w:r>
      <w:r>
        <w:rPr>
          <w:rFonts w:ascii="Times New Roman" w:hAnsi="Times New Roman" w:cs="Times New Roman"/>
          <w:b/>
          <w:color w:val="FF0000"/>
        </w:rPr>
        <w:t xml:space="preserve">  mgr inż. Mirosław Walencik</w:t>
      </w:r>
    </w:p>
    <w:p w14:paraId="282A4FA6" w14:textId="5FE0FEE1" w:rsidR="00544E49" w:rsidRDefault="00544E49" w:rsidP="00544E49">
      <w:pPr>
        <w:spacing w:after="0" w:line="240" w:lineRule="auto"/>
        <w:jc w:val="both"/>
        <w:rPr>
          <w:rFonts w:ascii="Times New Roman" w:hAnsi="Times New Roman" w:cs="Times New Roman"/>
        </w:rPr>
      </w:pPr>
      <w:r>
        <w:rPr>
          <w:rFonts w:ascii="Times New Roman" w:hAnsi="Times New Roman" w:cs="Times New Roman"/>
          <w:b/>
          <w:color w:val="FF0000"/>
        </w:rPr>
        <w:t xml:space="preserve">                                                                                                                       </w:t>
      </w:r>
      <w:r>
        <w:rPr>
          <w:rFonts w:ascii="Times New Roman" w:hAnsi="Times New Roman" w:cs="Times New Roman"/>
          <w:b/>
          <w:color w:val="FF0000"/>
        </w:rPr>
        <w:t xml:space="preserve">   </w:t>
      </w:r>
      <w:r>
        <w:rPr>
          <w:rFonts w:ascii="Times New Roman" w:hAnsi="Times New Roman" w:cs="Times New Roman"/>
          <w:b/>
          <w:color w:val="FF0000"/>
        </w:rPr>
        <w:t>Zastępca Burmistrza</w:t>
      </w:r>
    </w:p>
    <w:p w14:paraId="025D39D0" w14:textId="77777777" w:rsidR="00A42079" w:rsidRPr="00482A21" w:rsidRDefault="00A42079" w:rsidP="00A42079">
      <w:pPr>
        <w:spacing w:after="0" w:line="240" w:lineRule="auto"/>
        <w:jc w:val="center"/>
        <w:rPr>
          <w:rFonts w:ascii="Times New Roman" w:eastAsia="Noto Sans CJK SC Regular" w:hAnsi="Times New Roman" w:cs="Lohit Devanagari"/>
          <w:b/>
          <w:bCs/>
          <w:kern w:val="2"/>
          <w:sz w:val="24"/>
          <w:szCs w:val="24"/>
          <w:lang w:eastAsia="zh-CN" w:bidi="hi-IN"/>
        </w:rPr>
      </w:pPr>
      <w:r w:rsidRPr="00482A21">
        <w:rPr>
          <w:rFonts w:ascii="Times New Roman" w:eastAsia="Noto Sans CJK SC Regular" w:hAnsi="Times New Roman" w:cs="Lohit Devanagari"/>
          <w:b/>
          <w:bCs/>
          <w:kern w:val="2"/>
          <w:sz w:val="24"/>
          <w:szCs w:val="24"/>
          <w:lang w:eastAsia="zh-CN" w:bidi="hi-IN"/>
        </w:rPr>
        <w:t>POUCZENIE</w:t>
      </w:r>
    </w:p>
    <w:p w14:paraId="328193C2" w14:textId="77777777" w:rsidR="00A42079" w:rsidRPr="00482A21" w:rsidRDefault="00A42079" w:rsidP="00A42079">
      <w:pPr>
        <w:spacing w:after="0" w:line="240" w:lineRule="auto"/>
        <w:jc w:val="both"/>
        <w:rPr>
          <w:rFonts w:ascii="Calibri" w:eastAsia="Calibri" w:hAnsi="Calibri" w:cs="font292"/>
          <w:sz w:val="16"/>
          <w:szCs w:val="16"/>
        </w:rPr>
      </w:pPr>
      <w:r w:rsidRPr="00482A21">
        <w:rPr>
          <w:rFonts w:ascii="Times New Roman" w:eastAsia="Noto Sans CJK SC Regular" w:hAnsi="Times New Roman" w:cs="Lohit Devanagari"/>
          <w:kern w:val="2"/>
          <w:sz w:val="16"/>
          <w:szCs w:val="16"/>
          <w:lang w:eastAsia="zh-CN" w:bidi="hi-IN"/>
        </w:rPr>
        <w:t>1. Od niniejszej decyzji służy stronom odwołanie do Samorządowego Kolegium Odwoławczego w Zielonej Górze za pośrednictwem Burmistrza Nowogrodu Bobrzańskiego w terminie 14 dni od dnia doręczenia niniejszej decyzji.</w:t>
      </w:r>
    </w:p>
    <w:p w14:paraId="300E386B" w14:textId="77777777" w:rsidR="00A42079" w:rsidRPr="00482A21" w:rsidRDefault="00A42079" w:rsidP="00A42079">
      <w:pPr>
        <w:spacing w:after="0" w:line="240" w:lineRule="auto"/>
        <w:jc w:val="both"/>
        <w:rPr>
          <w:rFonts w:ascii="Calibri" w:eastAsia="Calibri" w:hAnsi="Calibri" w:cs="font292"/>
          <w:sz w:val="16"/>
          <w:szCs w:val="16"/>
        </w:rPr>
      </w:pPr>
      <w:r w:rsidRPr="00482A21">
        <w:rPr>
          <w:rFonts w:ascii="Times New Roman" w:eastAsia="Noto Sans CJK SC Regular" w:hAnsi="Times New Roman" w:cs="Lohit Devanagari"/>
          <w:kern w:val="2"/>
          <w:sz w:val="16"/>
          <w:szCs w:val="16"/>
          <w:lang w:eastAsia="zh-CN" w:bidi="hi-IN"/>
        </w:rPr>
        <w:t>2. Zgodnie z art. 127a ustawy z dnia 14 czerwca 1960r.-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C972A87" w14:textId="77777777" w:rsidR="00A42079" w:rsidRPr="00482A21" w:rsidRDefault="00A42079" w:rsidP="00A42079">
      <w:pPr>
        <w:spacing w:after="0" w:line="240" w:lineRule="auto"/>
        <w:jc w:val="both"/>
        <w:rPr>
          <w:rFonts w:ascii="Calibri" w:eastAsia="Calibri" w:hAnsi="Calibri" w:cs="font292"/>
          <w:vanish/>
          <w:sz w:val="16"/>
          <w:szCs w:val="16"/>
        </w:rPr>
      </w:pPr>
      <w:r w:rsidRPr="00482A21">
        <w:rPr>
          <w:rFonts w:ascii="Times New Roman" w:eastAsia="Noto Sans CJK SC Regular" w:hAnsi="Times New Roman" w:cs="Lohit Devanagari"/>
          <w:kern w:val="2"/>
          <w:sz w:val="16"/>
          <w:szCs w:val="16"/>
          <w:lang w:eastAsia="zh-CN" w:bidi="hi-IN"/>
        </w:rPr>
        <w:t>3. Niniejszą decyzję dołącza się do wniosku o wydanie decyzji, o których mowa w art. 72 ust. 1 ustawy</w:t>
      </w:r>
      <w:r>
        <w:rPr>
          <w:rFonts w:ascii="Times New Roman" w:eastAsia="Noto Sans CJK SC Regular" w:hAnsi="Times New Roman" w:cs="Lohit Devanagari"/>
          <w:kern w:val="2"/>
          <w:sz w:val="16"/>
          <w:szCs w:val="16"/>
          <w:lang w:eastAsia="zh-CN" w:bidi="hi-IN"/>
        </w:rPr>
        <w:t xml:space="preserve"> z dnia 3 października 2008r. o </w:t>
      </w:r>
      <w:r w:rsidRPr="00482A21">
        <w:rPr>
          <w:rFonts w:ascii="Times New Roman" w:eastAsia="Noto Sans CJK SC Regular" w:hAnsi="Times New Roman" w:cs="Lohit Devanagari"/>
          <w:kern w:val="2"/>
          <w:sz w:val="16"/>
          <w:szCs w:val="16"/>
          <w:lang w:eastAsia="zh-CN" w:bidi="hi-IN"/>
        </w:rPr>
        <w:t xml:space="preserve">udostępnianiu informacji o środowisku i jego ochronie, udziale społeczeństwa w ochronie środowiska oraz o ocenach oddziaływania na środowisko, oraz zgłoszenia, o którym mowa w art. 72 ust. 1a ustawy </w:t>
      </w:r>
      <w:proofErr w:type="spellStart"/>
      <w:r w:rsidRPr="00482A21">
        <w:rPr>
          <w:rFonts w:ascii="Times New Roman" w:eastAsia="Noto Sans CJK SC Regular" w:hAnsi="Times New Roman" w:cs="Lohit Devanagari"/>
          <w:kern w:val="2"/>
          <w:sz w:val="16"/>
          <w:szCs w:val="16"/>
          <w:lang w:eastAsia="zh-CN" w:bidi="hi-IN"/>
        </w:rPr>
        <w:t>ooś</w:t>
      </w:r>
      <w:proofErr w:type="spellEnd"/>
      <w:r w:rsidRPr="00482A21">
        <w:rPr>
          <w:rFonts w:ascii="Times New Roman" w:eastAsia="Noto Sans CJK SC Regular" w:hAnsi="Times New Roman" w:cs="Lohit Devanagari"/>
          <w:kern w:val="2"/>
          <w:sz w:val="16"/>
          <w:szCs w:val="16"/>
          <w:lang w:eastAsia="zh-CN" w:bidi="hi-IN"/>
        </w:rPr>
        <w:t>. Złożenie wniosku lub dokonanie zgłoszenia następuje w terminie 6 lat od dnia, w którym decyzja o środowiskowych uwarunkowaniach stała się ostateczna, z zastrzeżeniem iż złożenie wniosku lub dokonanie zgłoszenia może nastąpić w terminie 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ust. 3 (tj. 6 lat), od organu, który wydał decyzję o środowiskowych uwarunkowaniach w pierwszej instancji, stanowisko, że aktualne są warunki realizacji przedsięwzięcia określone w decyzji o środowiskowych uwarunkowaniach lub postanowieniu, o którym mowa w art. 90 ust. 1, jeżeli było wydane. Zajęcie stanowiska następuje na wniosek uwzględniający informacje na temat stanu środowiska i możliwości realizacji warunków wynikających z decyzji o środowiskowych uwarunkowaniach lub postanowienia, o którym mowa w art. 90 ust. 1, jeżeli było wydane. Wniosek, o którym mowa w zdaniu drugim, składa się do organu nie wcześniej niż po upływie 5 lat od dnia, w którym decyzja o środowiskowych uwarunkowaniach stała się ostateczna.</w:t>
      </w:r>
    </w:p>
    <w:p w14:paraId="3E4745B9" w14:textId="77777777" w:rsidR="00A42079" w:rsidRPr="00482A21" w:rsidRDefault="00A42079" w:rsidP="00A42079">
      <w:pPr>
        <w:spacing w:after="0" w:line="240" w:lineRule="auto"/>
        <w:rPr>
          <w:rFonts w:ascii="Times New Roman" w:eastAsia="Noto Sans CJK SC Regular" w:hAnsi="Times New Roman" w:cs="Lohit Devanagari"/>
          <w:kern w:val="2"/>
          <w:sz w:val="16"/>
          <w:szCs w:val="16"/>
          <w:lang w:eastAsia="zh-CN" w:bidi="hi-IN"/>
        </w:rPr>
      </w:pPr>
      <w:r w:rsidRPr="00482A21">
        <w:rPr>
          <w:rFonts w:ascii="Times New Roman" w:eastAsia="Noto Sans CJK SC Regular" w:hAnsi="Times New Roman" w:cs="Lohit Devanagari"/>
          <w:kern w:val="2"/>
          <w:sz w:val="16"/>
          <w:szCs w:val="16"/>
          <w:lang w:eastAsia="zh-CN" w:bidi="hi-IN"/>
        </w:rPr>
        <w:t xml:space="preserve"> </w:t>
      </w:r>
    </w:p>
    <w:p w14:paraId="7E9DE55B" w14:textId="77777777" w:rsidR="00A42079" w:rsidRDefault="00A42079" w:rsidP="00A42079">
      <w:pPr>
        <w:spacing w:after="0"/>
        <w:jc w:val="both"/>
        <w:rPr>
          <w:rFonts w:ascii="Times New Roman" w:hAnsi="Times New Roman" w:cs="Times New Roman"/>
          <w:b/>
          <w:sz w:val="18"/>
          <w:szCs w:val="18"/>
          <w:u w:val="single"/>
        </w:rPr>
      </w:pPr>
      <w:r w:rsidRPr="00787AD8">
        <w:rPr>
          <w:rFonts w:ascii="Times New Roman" w:hAnsi="Times New Roman" w:cs="Times New Roman"/>
          <w:b/>
          <w:sz w:val="18"/>
          <w:szCs w:val="18"/>
          <w:u w:val="single"/>
        </w:rPr>
        <w:t>Otrzymują:</w:t>
      </w:r>
    </w:p>
    <w:p w14:paraId="380A0A9A" w14:textId="77777777" w:rsidR="00544E49" w:rsidRPr="00787AD8" w:rsidRDefault="00544E49" w:rsidP="00A42079">
      <w:pPr>
        <w:spacing w:after="0"/>
        <w:jc w:val="both"/>
        <w:rPr>
          <w:rFonts w:ascii="Times New Roman" w:hAnsi="Times New Roman" w:cs="Times New Roman"/>
          <w:b/>
          <w:sz w:val="18"/>
          <w:szCs w:val="18"/>
          <w:u w:val="single"/>
        </w:rPr>
      </w:pPr>
    </w:p>
    <w:p w14:paraId="30652660" w14:textId="04A1C957" w:rsidR="00A42079" w:rsidRDefault="00A42079" w:rsidP="00A42079">
      <w:pPr>
        <w:numPr>
          <w:ilvl w:val="0"/>
          <w:numId w:val="4"/>
        </w:numPr>
        <w:spacing w:after="0"/>
        <w:contextualSpacing/>
        <w:jc w:val="both"/>
        <w:rPr>
          <w:rFonts w:ascii="Times New Roman" w:hAnsi="Times New Roman" w:cs="Times New Roman"/>
          <w:sz w:val="18"/>
          <w:szCs w:val="18"/>
        </w:rPr>
      </w:pPr>
      <w:proofErr w:type="spellStart"/>
      <w:r>
        <w:rPr>
          <w:rFonts w:ascii="Times New Roman" w:hAnsi="Times New Roman" w:cs="Times New Roman"/>
          <w:sz w:val="18"/>
          <w:szCs w:val="18"/>
        </w:rPr>
        <w:t>Axpo</w:t>
      </w:r>
      <w:proofErr w:type="spellEnd"/>
      <w:r>
        <w:rPr>
          <w:rFonts w:ascii="Times New Roman" w:hAnsi="Times New Roman" w:cs="Times New Roman"/>
          <w:sz w:val="18"/>
          <w:szCs w:val="18"/>
        </w:rPr>
        <w:t xml:space="preserve"> Solar Polska Sp. z o.o.</w:t>
      </w:r>
    </w:p>
    <w:p w14:paraId="337E0565" w14:textId="4DB5B352" w:rsidR="00A42079" w:rsidRDefault="00A42079" w:rsidP="00A42079">
      <w:pPr>
        <w:spacing w:after="0"/>
        <w:ind w:left="720"/>
        <w:contextualSpacing/>
        <w:jc w:val="both"/>
        <w:rPr>
          <w:rFonts w:ascii="Times New Roman" w:hAnsi="Times New Roman" w:cs="Times New Roman"/>
          <w:sz w:val="18"/>
          <w:szCs w:val="18"/>
        </w:rPr>
      </w:pPr>
      <w:r>
        <w:rPr>
          <w:rFonts w:ascii="Times New Roman" w:hAnsi="Times New Roman" w:cs="Times New Roman"/>
          <w:sz w:val="18"/>
          <w:szCs w:val="18"/>
        </w:rPr>
        <w:t>ul. Emilii Plater 28, 00-688 Warszawa,</w:t>
      </w:r>
    </w:p>
    <w:p w14:paraId="4EAD2AC7" w14:textId="43EFB611" w:rsidR="00A42079" w:rsidRDefault="00A42079" w:rsidP="00A42079">
      <w:pPr>
        <w:spacing w:after="0"/>
        <w:ind w:left="720"/>
        <w:contextualSpacing/>
        <w:jc w:val="both"/>
        <w:rPr>
          <w:rFonts w:ascii="Times New Roman" w:hAnsi="Times New Roman" w:cs="Times New Roman"/>
          <w:sz w:val="18"/>
          <w:szCs w:val="18"/>
        </w:rPr>
      </w:pPr>
      <w:r>
        <w:rPr>
          <w:rFonts w:ascii="Times New Roman" w:hAnsi="Times New Roman" w:cs="Times New Roman"/>
          <w:sz w:val="18"/>
          <w:szCs w:val="18"/>
        </w:rPr>
        <w:t>Pełnomocnik:</w:t>
      </w:r>
    </w:p>
    <w:p w14:paraId="644EF3E6" w14:textId="51BC91E0" w:rsidR="00A42079" w:rsidRDefault="00A42079" w:rsidP="00A42079">
      <w:pPr>
        <w:spacing w:after="0"/>
        <w:ind w:left="720"/>
        <w:contextualSpacing/>
        <w:jc w:val="both"/>
        <w:rPr>
          <w:rFonts w:ascii="Times New Roman" w:hAnsi="Times New Roman" w:cs="Times New Roman"/>
          <w:sz w:val="18"/>
          <w:szCs w:val="18"/>
        </w:rPr>
      </w:pPr>
      <w:r>
        <w:rPr>
          <w:rFonts w:ascii="Times New Roman" w:hAnsi="Times New Roman" w:cs="Times New Roman"/>
          <w:sz w:val="18"/>
          <w:szCs w:val="18"/>
        </w:rPr>
        <w:t>Piotr Czajkowski</w:t>
      </w:r>
    </w:p>
    <w:p w14:paraId="5E287926" w14:textId="4A352DDE" w:rsidR="00A42079" w:rsidRDefault="00A42079" w:rsidP="00A42079">
      <w:pPr>
        <w:spacing w:after="0"/>
        <w:ind w:left="720"/>
        <w:contextualSpacing/>
        <w:jc w:val="both"/>
        <w:rPr>
          <w:rFonts w:ascii="Times New Roman" w:hAnsi="Times New Roman" w:cs="Times New Roman"/>
          <w:sz w:val="18"/>
          <w:szCs w:val="18"/>
        </w:rPr>
      </w:pPr>
      <w:r>
        <w:rPr>
          <w:rFonts w:ascii="Times New Roman" w:hAnsi="Times New Roman" w:cs="Times New Roman"/>
          <w:sz w:val="18"/>
          <w:szCs w:val="18"/>
        </w:rPr>
        <w:t>ul. Sarmacka 1A lok. 6, 02-972 Warszawa,</w:t>
      </w:r>
    </w:p>
    <w:p w14:paraId="4782AAD6" w14:textId="77777777" w:rsidR="00A42079" w:rsidRPr="00787AD8" w:rsidRDefault="00A42079" w:rsidP="00A42079">
      <w:pPr>
        <w:numPr>
          <w:ilvl w:val="0"/>
          <w:numId w:val="4"/>
        </w:numPr>
        <w:spacing w:after="0"/>
        <w:contextualSpacing/>
        <w:jc w:val="both"/>
        <w:rPr>
          <w:rFonts w:ascii="Times New Roman" w:hAnsi="Times New Roman" w:cs="Times New Roman"/>
          <w:sz w:val="18"/>
          <w:szCs w:val="18"/>
        </w:rPr>
      </w:pPr>
      <w:r w:rsidRPr="00787AD8">
        <w:rPr>
          <w:rFonts w:ascii="Times New Roman" w:hAnsi="Times New Roman" w:cs="Times New Roman"/>
          <w:sz w:val="18"/>
          <w:szCs w:val="18"/>
        </w:rPr>
        <w:lastRenderedPageBreak/>
        <w:t>Strony postępowania zgodnie z art. 49 k.p.a.</w:t>
      </w:r>
    </w:p>
    <w:p w14:paraId="7AE0ACC1" w14:textId="77777777" w:rsidR="00A42079" w:rsidRPr="00787AD8" w:rsidRDefault="00A42079" w:rsidP="00A42079">
      <w:pPr>
        <w:numPr>
          <w:ilvl w:val="0"/>
          <w:numId w:val="4"/>
        </w:numPr>
        <w:spacing w:after="0"/>
        <w:contextualSpacing/>
        <w:jc w:val="both"/>
        <w:rPr>
          <w:rFonts w:ascii="Times New Roman" w:hAnsi="Times New Roman" w:cs="Times New Roman"/>
          <w:sz w:val="18"/>
          <w:szCs w:val="18"/>
        </w:rPr>
      </w:pPr>
      <w:r w:rsidRPr="00787AD8">
        <w:rPr>
          <w:rFonts w:ascii="Times New Roman" w:hAnsi="Times New Roman" w:cs="Times New Roman"/>
          <w:sz w:val="18"/>
          <w:szCs w:val="18"/>
        </w:rPr>
        <w:t>A/a</w:t>
      </w:r>
    </w:p>
    <w:p w14:paraId="1850603A" w14:textId="77777777" w:rsidR="00A42079" w:rsidRPr="00787AD8" w:rsidRDefault="00A42079" w:rsidP="00A42079">
      <w:pPr>
        <w:spacing w:after="0" w:line="240" w:lineRule="auto"/>
        <w:rPr>
          <w:rFonts w:ascii="Times New Roman" w:eastAsia="Noto Sans CJK SC Regular" w:hAnsi="Times New Roman" w:cs="Times New Roman"/>
          <w:kern w:val="2"/>
          <w:sz w:val="18"/>
          <w:szCs w:val="18"/>
          <w:u w:val="single"/>
          <w:lang w:eastAsia="zh-CN" w:bidi="hi-IN"/>
        </w:rPr>
      </w:pPr>
    </w:p>
    <w:p w14:paraId="5E884B23" w14:textId="77777777" w:rsidR="00A42079" w:rsidRPr="00787AD8" w:rsidRDefault="00A42079" w:rsidP="00A42079">
      <w:pPr>
        <w:spacing w:after="0" w:line="240" w:lineRule="auto"/>
        <w:rPr>
          <w:rFonts w:ascii="Times New Roman" w:eastAsia="Noto Sans CJK SC Regular" w:hAnsi="Times New Roman" w:cs="Times New Roman"/>
          <w:b/>
          <w:kern w:val="2"/>
          <w:sz w:val="18"/>
          <w:szCs w:val="18"/>
          <w:u w:val="single"/>
          <w:lang w:eastAsia="zh-CN" w:bidi="hi-IN"/>
        </w:rPr>
      </w:pPr>
      <w:r w:rsidRPr="00787AD8">
        <w:rPr>
          <w:rFonts w:ascii="Times New Roman" w:eastAsia="Noto Sans CJK SC Regular" w:hAnsi="Times New Roman" w:cs="Times New Roman"/>
          <w:b/>
          <w:kern w:val="2"/>
          <w:sz w:val="18"/>
          <w:szCs w:val="18"/>
          <w:u w:val="single"/>
          <w:lang w:eastAsia="zh-CN" w:bidi="hi-IN"/>
        </w:rPr>
        <w:t>Do wiadomości:</w:t>
      </w:r>
    </w:p>
    <w:p w14:paraId="2DB77527" w14:textId="77777777" w:rsidR="00A42079" w:rsidRPr="00787AD8" w:rsidRDefault="00A42079" w:rsidP="00A42079">
      <w:pPr>
        <w:numPr>
          <w:ilvl w:val="0"/>
          <w:numId w:val="3"/>
        </w:numPr>
        <w:spacing w:after="0" w:line="240" w:lineRule="auto"/>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Regionalny Dyrektor Ochrony Środowiska</w:t>
      </w:r>
    </w:p>
    <w:p w14:paraId="7216212C" w14:textId="069D376D"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Pr>
          <w:rFonts w:ascii="Times New Roman" w:eastAsia="Noto Sans CJK SC Regular" w:hAnsi="Times New Roman" w:cs="Times New Roman"/>
          <w:kern w:val="2"/>
          <w:sz w:val="18"/>
          <w:szCs w:val="18"/>
          <w:lang w:eastAsia="zh-CN" w:bidi="hi-IN"/>
        </w:rPr>
        <w:t>ul Jagiellończyka 13</w:t>
      </w:r>
    </w:p>
    <w:p w14:paraId="5603842D"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66-400 Gorzów Wielkopolski</w:t>
      </w:r>
    </w:p>
    <w:p w14:paraId="5FF2A177" w14:textId="77777777" w:rsidR="00A42079" w:rsidRPr="00787AD8" w:rsidRDefault="00A42079" w:rsidP="00A42079">
      <w:pPr>
        <w:numPr>
          <w:ilvl w:val="0"/>
          <w:numId w:val="3"/>
        </w:numPr>
        <w:spacing w:after="0" w:line="240" w:lineRule="auto"/>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Państwowy Powiatowy Inspektor Sanitarny</w:t>
      </w:r>
    </w:p>
    <w:p w14:paraId="7A293A61"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ul. Jasna 10</w:t>
      </w:r>
    </w:p>
    <w:p w14:paraId="1AB18783"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65-470 Zielona Góra</w:t>
      </w:r>
    </w:p>
    <w:p w14:paraId="27A87233" w14:textId="77777777" w:rsidR="00A42079" w:rsidRPr="00787AD8" w:rsidRDefault="00A42079" w:rsidP="00A42079">
      <w:pPr>
        <w:numPr>
          <w:ilvl w:val="0"/>
          <w:numId w:val="3"/>
        </w:numPr>
        <w:spacing w:after="0" w:line="240" w:lineRule="auto"/>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Państwowe Gospodarstwo Wodne Wody Polskie</w:t>
      </w:r>
    </w:p>
    <w:p w14:paraId="0431DE8E"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Zarząd Zlewni w Lwówku Śląskim</w:t>
      </w:r>
    </w:p>
    <w:p w14:paraId="0833A0C4"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ul. Jaśkiewicza 24</w:t>
      </w:r>
    </w:p>
    <w:p w14:paraId="3FAB3501"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59-600 Lwówek Śląski</w:t>
      </w:r>
    </w:p>
    <w:p w14:paraId="261D2AE0" w14:textId="77777777" w:rsidR="00A42079" w:rsidRPr="00787AD8" w:rsidRDefault="00A42079" w:rsidP="00A42079">
      <w:pPr>
        <w:numPr>
          <w:ilvl w:val="0"/>
          <w:numId w:val="3"/>
        </w:numPr>
        <w:spacing w:after="0" w:line="240" w:lineRule="auto"/>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Starosta Powiatowy w Zielonej Górze</w:t>
      </w:r>
    </w:p>
    <w:p w14:paraId="4802A01A"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ul. Podgórna 5</w:t>
      </w:r>
    </w:p>
    <w:p w14:paraId="27C4DF49" w14:textId="77777777" w:rsidR="00A42079" w:rsidRPr="00787AD8" w:rsidRDefault="00A42079" w:rsidP="00A42079">
      <w:pPr>
        <w:spacing w:after="0" w:line="240" w:lineRule="auto"/>
        <w:ind w:left="720"/>
        <w:contextualSpacing/>
        <w:rPr>
          <w:rFonts w:ascii="Times New Roman" w:eastAsia="Noto Sans CJK SC Regular" w:hAnsi="Times New Roman" w:cs="Times New Roman"/>
          <w:kern w:val="2"/>
          <w:sz w:val="18"/>
          <w:szCs w:val="18"/>
          <w:lang w:eastAsia="zh-CN" w:bidi="hi-IN"/>
        </w:rPr>
      </w:pPr>
      <w:r w:rsidRPr="00787AD8">
        <w:rPr>
          <w:rFonts w:ascii="Times New Roman" w:eastAsia="Noto Sans CJK SC Regular" w:hAnsi="Times New Roman" w:cs="Times New Roman"/>
          <w:kern w:val="2"/>
          <w:sz w:val="18"/>
          <w:szCs w:val="18"/>
          <w:lang w:eastAsia="zh-CN" w:bidi="hi-IN"/>
        </w:rPr>
        <w:t>65-057 Zielona Góra</w:t>
      </w:r>
    </w:p>
    <w:p w14:paraId="46B6C531" w14:textId="77777777" w:rsidR="00A42079" w:rsidRPr="00DE51B7" w:rsidRDefault="00A42079" w:rsidP="00A42079">
      <w:pPr>
        <w:jc w:val="both"/>
        <w:rPr>
          <w:rFonts w:ascii="Times New Roman" w:hAnsi="Times New Roman" w:cs="Times New Roman"/>
          <w:color w:val="FF0000"/>
        </w:rPr>
      </w:pPr>
    </w:p>
    <w:p w14:paraId="2FE4F3A5" w14:textId="77777777" w:rsidR="00EC0584" w:rsidRDefault="00EC0584">
      <w:pPr>
        <w:spacing w:after="160"/>
        <w:rPr>
          <w:rFonts w:ascii="Times New Roman" w:hAnsi="Times New Roman" w:cs="Times New Roman"/>
          <w:sz w:val="24"/>
          <w:szCs w:val="24"/>
        </w:rPr>
      </w:pPr>
    </w:p>
    <w:p w14:paraId="7D63D5C2" w14:textId="77777777" w:rsidR="00EC0584" w:rsidRDefault="00EC0584">
      <w:pPr>
        <w:spacing w:after="160"/>
        <w:rPr>
          <w:rFonts w:ascii="Times New Roman" w:hAnsi="Times New Roman" w:cs="Times New Roman"/>
          <w:sz w:val="24"/>
          <w:szCs w:val="24"/>
        </w:rPr>
      </w:pPr>
    </w:p>
    <w:sectPr w:rsidR="00EC0584">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E7CA" w14:textId="77777777" w:rsidR="005047C3" w:rsidRDefault="005047C3" w:rsidP="00760231">
      <w:pPr>
        <w:spacing w:after="0" w:line="240" w:lineRule="auto"/>
      </w:pPr>
      <w:r>
        <w:separator/>
      </w:r>
    </w:p>
  </w:endnote>
  <w:endnote w:type="continuationSeparator" w:id="0">
    <w:p w14:paraId="7EB5C893" w14:textId="77777777" w:rsidR="005047C3" w:rsidRDefault="005047C3" w:rsidP="0076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CJK SC Regular">
    <w:altName w:val="Times New Roman"/>
    <w:charset w:val="01"/>
    <w:family w:val="auto"/>
    <w:pitch w:val="variable"/>
  </w:font>
  <w:font w:name="Lohit Devanagari">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Sans Serif">
    <w:altName w:val="Microsoft Sans Serif"/>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font292">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F935" w14:textId="77777777" w:rsidR="005047C3" w:rsidRDefault="005047C3" w:rsidP="00760231">
      <w:pPr>
        <w:spacing w:after="0" w:line="240" w:lineRule="auto"/>
      </w:pPr>
      <w:r>
        <w:separator/>
      </w:r>
    </w:p>
  </w:footnote>
  <w:footnote w:type="continuationSeparator" w:id="0">
    <w:p w14:paraId="65073752" w14:textId="77777777" w:rsidR="005047C3" w:rsidRDefault="005047C3" w:rsidP="00760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2133"/>
    <w:multiLevelType w:val="hybridMultilevel"/>
    <w:tmpl w:val="215AC374"/>
    <w:lvl w:ilvl="0" w:tplc="B94E7754">
      <w:start w:val="1"/>
      <w:numFmt w:val="decimal"/>
      <w:lvlText w:val="%1."/>
      <w:lvlJc w:val="left"/>
      <w:pPr>
        <w:ind w:left="1080" w:hanging="360"/>
      </w:pPr>
      <w:rPr>
        <w:rFonts w:ascii="Times New Roman" w:eastAsia="Noto Sans CJK SC Regular" w:hAnsi="Times New Roman" w:cs="Lohit Devanaga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CB56984"/>
    <w:multiLevelType w:val="hybridMultilevel"/>
    <w:tmpl w:val="607C0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5873E1"/>
    <w:multiLevelType w:val="multilevel"/>
    <w:tmpl w:val="C00AED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11277A5"/>
    <w:multiLevelType w:val="hybridMultilevel"/>
    <w:tmpl w:val="A4E0A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A14653"/>
    <w:multiLevelType w:val="hybridMultilevel"/>
    <w:tmpl w:val="532AD688"/>
    <w:lvl w:ilvl="0" w:tplc="B94E7754">
      <w:start w:val="1"/>
      <w:numFmt w:val="decimal"/>
      <w:lvlText w:val="%1."/>
      <w:lvlJc w:val="left"/>
      <w:pPr>
        <w:ind w:left="1080" w:hanging="360"/>
      </w:pPr>
      <w:rPr>
        <w:rFonts w:ascii="Times New Roman" w:eastAsia="Noto Sans CJK SC Regular" w:hAnsi="Times New Roman" w:cs="Lohit Devanaga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0679C4"/>
    <w:multiLevelType w:val="hybridMultilevel"/>
    <w:tmpl w:val="8C3E90DC"/>
    <w:lvl w:ilvl="0" w:tplc="D4380B50">
      <w:start w:val="1"/>
      <w:numFmt w:val="upperRoman"/>
      <w:lvlText w:val="%1."/>
      <w:lvlJc w:val="left"/>
      <w:pPr>
        <w:ind w:left="1080" w:hanging="720"/>
      </w:pPr>
      <w:rPr>
        <w:rFonts w:ascii="Times New Roman" w:hAnsi="Times New Roman" w:hint="default"/>
        <w:b/>
        <w:color w:val="auto"/>
      </w:rPr>
    </w:lvl>
    <w:lvl w:ilvl="1" w:tplc="850A59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5197779">
    <w:abstractNumId w:val="5"/>
  </w:num>
  <w:num w:numId="2" w16cid:durableId="403573457">
    <w:abstractNumId w:val="0"/>
  </w:num>
  <w:num w:numId="3" w16cid:durableId="1329020478">
    <w:abstractNumId w:val="1"/>
  </w:num>
  <w:num w:numId="4" w16cid:durableId="584220141">
    <w:abstractNumId w:val="2"/>
  </w:num>
  <w:num w:numId="5" w16cid:durableId="1118722968">
    <w:abstractNumId w:val="3"/>
  </w:num>
  <w:num w:numId="6" w16cid:durableId="97984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84"/>
    <w:rsid w:val="00013BBA"/>
    <w:rsid w:val="000C1D68"/>
    <w:rsid w:val="000F339D"/>
    <w:rsid w:val="001446B6"/>
    <w:rsid w:val="001739F3"/>
    <w:rsid w:val="001C5F8B"/>
    <w:rsid w:val="002B5947"/>
    <w:rsid w:val="00390BD2"/>
    <w:rsid w:val="003C1D0E"/>
    <w:rsid w:val="00426A16"/>
    <w:rsid w:val="00491CBA"/>
    <w:rsid w:val="005047C3"/>
    <w:rsid w:val="00544E49"/>
    <w:rsid w:val="0056285A"/>
    <w:rsid w:val="005A15A0"/>
    <w:rsid w:val="005B4DB0"/>
    <w:rsid w:val="006412FE"/>
    <w:rsid w:val="00704495"/>
    <w:rsid w:val="00760231"/>
    <w:rsid w:val="00786DFD"/>
    <w:rsid w:val="008C6C12"/>
    <w:rsid w:val="009E1FA0"/>
    <w:rsid w:val="00A42079"/>
    <w:rsid w:val="00A628DA"/>
    <w:rsid w:val="00A95CC4"/>
    <w:rsid w:val="00CE5084"/>
    <w:rsid w:val="00D66629"/>
    <w:rsid w:val="00DA380A"/>
    <w:rsid w:val="00E34336"/>
    <w:rsid w:val="00EC0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5004"/>
  <w15:docId w15:val="{583D7711-95B9-4235-9FFE-1A634D6F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B14E0"/>
    <w:rPr>
      <w:rFonts w:ascii="Tahoma" w:hAnsi="Tahoma" w:cs="Tahoma"/>
      <w:sz w:val="16"/>
      <w:szCs w:val="16"/>
    </w:rPr>
  </w:style>
  <w:style w:type="character" w:customStyle="1" w:styleId="NagwekZnak">
    <w:name w:val="Nagłówek Znak"/>
    <w:basedOn w:val="Domylnaczcionkaakapitu"/>
    <w:link w:val="Nagwek"/>
    <w:uiPriority w:val="99"/>
    <w:qFormat/>
    <w:rsid w:val="00551BE5"/>
  </w:style>
  <w:style w:type="character" w:customStyle="1" w:styleId="StopkaZnak">
    <w:name w:val="Stopka Znak"/>
    <w:basedOn w:val="Domylnaczcionkaakapitu"/>
    <w:link w:val="Stopka"/>
    <w:uiPriority w:val="99"/>
    <w:qFormat/>
    <w:rsid w:val="00551BE5"/>
  </w:style>
  <w:style w:type="paragraph" w:styleId="Nagwek">
    <w:name w:val="header"/>
    <w:basedOn w:val="Normalny"/>
    <w:next w:val="Tekstpodstawowy"/>
    <w:link w:val="NagwekZnak"/>
    <w:uiPriority w:val="99"/>
    <w:unhideWhenUsed/>
    <w:rsid w:val="00551BE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Unicode MS"/>
      <w:i/>
      <w:iCs/>
      <w:sz w:val="24"/>
      <w:szCs w:val="24"/>
    </w:rPr>
  </w:style>
  <w:style w:type="paragraph" w:styleId="Tekstdymka">
    <w:name w:val="Balloon Text"/>
    <w:basedOn w:val="Normalny"/>
    <w:link w:val="TekstdymkaZnak"/>
    <w:uiPriority w:val="99"/>
    <w:semiHidden/>
    <w:unhideWhenUsed/>
    <w:qFormat/>
    <w:rsid w:val="003B14E0"/>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551BE5"/>
    <w:pPr>
      <w:tabs>
        <w:tab w:val="center" w:pos="4536"/>
        <w:tab w:val="right" w:pos="9072"/>
      </w:tabs>
      <w:spacing w:after="0" w:line="240" w:lineRule="auto"/>
    </w:pPr>
  </w:style>
  <w:style w:type="paragraph" w:customStyle="1" w:styleId="Zawartoramki">
    <w:name w:val="Zawartość ramki"/>
    <w:basedOn w:val="Normalny"/>
    <w:qFormat/>
  </w:style>
  <w:style w:type="paragraph" w:customStyle="1" w:styleId="caption11">
    <w:name w:val="caption11"/>
    <w:basedOn w:val="Normalny"/>
    <w:qFormat/>
    <w:pPr>
      <w:spacing w:before="120" w:after="120"/>
    </w:pPr>
    <w:rPr>
      <w:i/>
      <w:iCs/>
      <w:color w:val="000000"/>
    </w:rPr>
  </w:style>
  <w:style w:type="table" w:styleId="Tabela-Siatka">
    <w:name w:val="Table Grid"/>
    <w:basedOn w:val="Standardowy"/>
    <w:rsid w:val="003B14E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42079"/>
    <w:pPr>
      <w:suppressAutoHyphens w:val="0"/>
      <w:ind w:left="720"/>
      <w:contextualSpacing/>
    </w:pPr>
  </w:style>
  <w:style w:type="paragraph" w:styleId="Tekstprzypisukocowego">
    <w:name w:val="endnote text"/>
    <w:basedOn w:val="Normalny"/>
    <w:link w:val="TekstprzypisukocowegoZnak"/>
    <w:uiPriority w:val="99"/>
    <w:semiHidden/>
    <w:unhideWhenUsed/>
    <w:rsid w:val="007602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231"/>
    <w:rPr>
      <w:sz w:val="20"/>
      <w:szCs w:val="20"/>
    </w:rPr>
  </w:style>
  <w:style w:type="character" w:styleId="Odwoanieprzypisukocowego">
    <w:name w:val="endnote reference"/>
    <w:basedOn w:val="Domylnaczcionkaakapitu"/>
    <w:uiPriority w:val="99"/>
    <w:semiHidden/>
    <w:unhideWhenUsed/>
    <w:rsid w:val="00760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80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34A7-9340-49AE-9D36-ADD6CE0F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3283</Words>
  <Characters>19699</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Świątkowska</dc:creator>
  <cp:lastModifiedBy>walencik</cp:lastModifiedBy>
  <cp:revision>4</cp:revision>
  <dcterms:created xsi:type="dcterms:W3CDTF">2023-11-27T08:29:00Z</dcterms:created>
  <dcterms:modified xsi:type="dcterms:W3CDTF">2023-11-27T09:08:00Z</dcterms:modified>
  <dc:language>pl-PL</dc:language>
</cp:coreProperties>
</file>