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FC1296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>Budowa świetlicy wiejskiej w miejscowości Bogaczów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do dnia 15.07.2020 r.</w:t>
      </w:r>
      <w:bookmarkStart w:id="0" w:name="_GoBack"/>
      <w:bookmarkEnd w:id="0"/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osobowe udostępniłem Zamawiającemu w celu ubiegania się o udzielenie zamówienia </w:t>
      </w:r>
      <w:r>
        <w:rPr>
          <w:rFonts w:ascii="Times New Roman" w:eastAsia="Times New Roman" w:hAnsi="Times New Roman" w:cs="Times New Roman"/>
          <w:iCs/>
        </w:rPr>
        <w:lastRenderedPageBreak/>
        <w:t>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FC1296">
    <w:pPr>
      <w:pBdr>
        <w:top w:val="single" w:sz="4" w:space="1" w:color="00000A"/>
      </w:pBdr>
      <w:spacing w:after="0" w:line="240" w:lineRule="auto"/>
      <w:jc w:val="center"/>
    </w:pPr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FC1296" w:rsidRDefault="00FC1296" w:rsidP="00FC1296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4E54D8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11</cp:revision>
  <dcterms:created xsi:type="dcterms:W3CDTF">2016-10-18T11:07:00Z</dcterms:created>
  <dcterms:modified xsi:type="dcterms:W3CDTF">2019-06-04T17:42:00Z</dcterms:modified>
</cp:coreProperties>
</file>